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31"/>
        <w:tblW w:w="9345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5040"/>
      </w:tblGrid>
      <w:tr w:rsidRPr="002E3CE4" w:rsidR="002E3CE4" w:rsidTr="6F294666" w14:paraId="3AC7CF4F" w14:textId="77777777">
        <w:tc>
          <w:tcPr>
            <w:tcW w:w="4305" w:type="dxa"/>
            <w:tcMar/>
            <w:hideMark/>
          </w:tcPr>
          <w:p w:rsidRPr="002E3CE4" w:rsidR="002E3CE4" w:rsidP="633C6A17" w:rsidRDefault="00E25137" w14:paraId="372D5266" w14:textId="24A51E08">
            <w:pPr>
              <w:pStyle w:val="a"/>
              <w:spacing w:line="256" w:lineRule="auto"/>
              <w:jc w:val="both"/>
            </w:pPr>
            <w:r w:rsidR="31425B2D">
              <w:drawing>
                <wp:inline wp14:editId="7F50BC53" wp14:anchorId="2CA55D54">
                  <wp:extent cx="2603255" cy="2318657"/>
                  <wp:effectExtent l="0" t="0" r="0" b="5715"/>
                  <wp:docPr id="1840119201" name="Рисунок 3" descr="Изображение выглядит как Человеческое лицо, одежда, улыбка, Цвет электрик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DA3C820C-9F6A-4E50-80C7-78C5ED46FBDE}"/>
                      </a:ext>
                    </a:extLst>
                  </wp:docPr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595880425" name="Рисунок 3" descr="Изображение выглядит как Человеческое лицо, одежда, улыбка, Цвет электри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DA3C820C-9F6A-4E50-80C7-78C5ED46FB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xmlns:r="http://schemas.openxmlformats.org/officeDocument/2006/relationships"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0" t="21031" r="23780" b="21752"/>
                          <a:stretch/>
                        </pic:blipFill>
                        <pic:spPr bwMode="auto">
                          <a:xfrm>
                            <a:off x="0" y="0"/>
                            <a:ext cx="2603255" cy="231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449EB685">
              <w:drawing>
                <wp:inline wp14:editId="320A86B1" wp14:anchorId="6966206A">
                  <wp:extent cx="488950" cy="488950"/>
                  <wp:effectExtent l="0" t="0" r="6350" b="6350"/>
                  <wp:docPr id="414763684" name="Рисунок 1073742233" descr="Изображение выглядит как текст, Шрифт, Графика, логотип&#10;&#10;Автоматически созданное описание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73742233" name="Рисунок 1073742233" descr="Изображение выглядит как текст, Шрифт, Графика, логотип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31425B2D">
              <w:drawing>
                <wp:inline wp14:editId="55711A85" wp14:anchorId="054B6148">
                  <wp:extent cx="895350" cy="561939"/>
                  <wp:effectExtent l="0" t="0" r="0" b="0"/>
                  <wp:docPr id="1155444753" name="Рисунок 1150486180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Рисунок 1073741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6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50226639">
              <w:drawing>
                <wp:inline wp14:editId="6C52EAB7" wp14:anchorId="76CFD5D2">
                  <wp:extent cx="495300" cy="457200"/>
                  <wp:effectExtent l="0" t="0" r="0" b="0"/>
                  <wp:docPr id="987710382" name="drawing" title="Изображение выглядит как текст, графический дизайн, Шрифт, дизайн&#10;&#10;Автоматически созданное описание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2125177427" name="Picture 2125177427"/>
                          <pic:cNvPicPr/>
                        </pic:nvPicPr>
                        <pic:blipFill>
                          <a:blip xmlns:r="http://schemas.openxmlformats.org/officeDocument/2006/relationships" r:embed="rId38511777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fldChar w:fldCharType="begin"/>
            </w:r>
            <w:r>
              <w:instrText xml:space="preserve"> INCLUDEPICTURE "/Users/daria/Library/Group Containers/UBF8T346G9.ms/WebArchiveCopyPasteTempFiles/com.microsoft.Word/logotip-rossiyskaya-gazeta.png" \* MERGEFORMATINET </w:instrText>
            </w:r>
            <w:r>
              <w:fldChar w:fldCharType="separate"/>
            </w:r>
            <w:r w:rsidR="50E60FE5">
              <w:drawing>
                <wp:inline wp14:editId="0336AB61" wp14:anchorId="345AA9B9">
                  <wp:extent cx="1220667" cy="477911"/>
                  <wp:effectExtent l="0" t="0" r="0" b="0"/>
                  <wp:docPr id="2014861887" name="Рисунок 1" descr="Логотип Российская газета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Российская газе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0">
                            <a:off x="0" y="0"/>
                            <a:ext cx="1220667" cy="47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 w:rsidR="265B4F89">
              <w:drawing>
                <wp:inline wp14:editId="12B8121D" wp14:anchorId="07DE51A0">
                  <wp:extent cx="1109962" cy="276955"/>
                  <wp:effectExtent l="0" t="0" r="0" b="8890"/>
                  <wp:docPr id="1023856247" name="Рисунок 1150486179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Рисунок 10737418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62" cy="27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/>
            <w:hideMark/>
          </w:tcPr>
          <w:p w:rsidRPr="002E3CE4" w:rsidR="002E3CE4" w:rsidP="00500D00" w:rsidRDefault="002E3CE4" w14:paraId="60BEF6EF" w14:textId="77777777">
            <w:pPr>
              <w:pStyle w:val="a3"/>
            </w:pPr>
            <w:r w:rsidRPr="002E3CE4">
              <w:t>Наталья Кузнецова</w:t>
            </w:r>
          </w:p>
          <w:p w:rsidRPr="0030505A" w:rsidR="002E3CE4" w:rsidP="00500D00" w:rsidRDefault="002E3CE4" w14:paraId="19140D89" w14:textId="77777777">
            <w:pPr>
              <w:pStyle w:val="a5"/>
              <w:rPr>
                <w:sz w:val="22"/>
                <w:szCs w:val="22"/>
              </w:rPr>
            </w:pPr>
            <w:r w:rsidRPr="0030505A">
              <w:rPr>
                <w:sz w:val="22"/>
                <w:szCs w:val="22"/>
              </w:rPr>
              <w:t>Партнер, Руководитель Корпоративной практики</w:t>
            </w:r>
          </w:p>
          <w:p w:rsidRPr="0030505A" w:rsidR="002E3CE4" w:rsidP="00500D00" w:rsidRDefault="002E3CE4" w14:paraId="31580B06" w14:textId="77777777">
            <w:pPr>
              <w:pStyle w:val="a7"/>
              <w:rPr>
                <w:sz w:val="22"/>
                <w:szCs w:val="22"/>
              </w:rPr>
            </w:pPr>
            <w:r w:rsidRPr="0030505A">
              <w:rPr>
                <w:noProof/>
                <w:szCs w:val="22"/>
              </w:rPr>
              <w:drawing>
                <wp:inline distT="0" distB="0" distL="0" distR="0" wp14:anchorId="07441E2D" wp14:editId="40232B0B">
                  <wp:extent cx="228600" cy="228600"/>
                  <wp:effectExtent l="0" t="0" r="0" b="0"/>
                  <wp:docPr id="1164135917" name="Picture 1051368513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68513" name="Picture 1051368513" descr="Изображение выглядит как прямоугольный, Красочность&#10;&#10;Автоматически созданное описание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505A">
              <w:rPr>
                <w:sz w:val="22"/>
                <w:szCs w:val="22"/>
              </w:rPr>
              <w:t>Наталья присоединилась к O2 Consulting в 2008 году в должности старшего юриста, с 2015 года возглавляет Российскую Корпоративную и Налоговую Практики.</w:t>
            </w:r>
          </w:p>
          <w:p w:rsidRPr="0030505A" w:rsidR="002E3CE4" w:rsidP="00500D00" w:rsidRDefault="002E3CE4" w14:paraId="19ABBF3F" w14:textId="57D88B81">
            <w:pPr>
              <w:pStyle w:val="a7"/>
              <w:rPr>
                <w:sz w:val="22"/>
                <w:szCs w:val="22"/>
              </w:rPr>
            </w:pPr>
            <w:r w:rsidRPr="0030505A">
              <w:rPr>
                <w:noProof/>
                <w:szCs w:val="22"/>
              </w:rPr>
              <w:drawing>
                <wp:inline distT="0" distB="0" distL="0" distR="0" wp14:anchorId="35536370" wp14:editId="30F4F336">
                  <wp:extent cx="228600" cy="228600"/>
                  <wp:effectExtent l="0" t="0" r="0" b="0"/>
                  <wp:docPr id="75845609" name="Picture 1051368513" descr="Изображение выглядит как прямоугольный, Красочность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368513" name="Picture 1051368513" descr="Изображение выглядит как прямоугольный, Красочность&#10;&#10;Автоматически созданное описание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505A">
              <w:rPr>
                <w:sz w:val="22"/>
                <w:szCs w:val="22"/>
              </w:rPr>
              <w:t>Специализируется на налоговом сопровождении инвестиций и структурировании активов, консультировании по вопросам российского и международного (трансграничного) налогообложения.</w:t>
            </w:r>
          </w:p>
          <w:p w:rsidRPr="002E3CE4" w:rsidR="002E3CE4" w:rsidP="002E3CE4" w:rsidRDefault="002E3CE4" w14:paraId="6CD49419" w14:textId="77777777">
            <w:pPr>
              <w:spacing w:before="120" w:after="120" w:line="276" w:lineRule="auto"/>
              <w:jc w:val="both"/>
              <w:rPr>
                <w:rFonts w:eastAsia="Arial Unicode MS" w:cs="Arial"/>
                <w:color w:val="000000"/>
                <w:u w:color="000000"/>
              </w:rPr>
            </w:pPr>
          </w:p>
          <w:p w:rsidRPr="002E3CE4" w:rsidR="002E3CE4" w:rsidP="633C6A17" w:rsidRDefault="002E3CE4" w14:paraId="32427679" w14:noSpellErr="1" w14:textId="6CC4D319">
            <w:pPr>
              <w:pStyle w:val="a"/>
              <w:spacing w:line="256" w:lineRule="auto"/>
              <w:jc w:val="both"/>
            </w:pPr>
          </w:p>
        </w:tc>
      </w:tr>
    </w:tbl>
    <w:p w:rsidR="00E25137" w:rsidP="00500D00" w:rsidRDefault="00E25137" w14:paraId="078F6EBC" w14:textId="4D09B53C">
      <w:pPr>
        <w:pStyle w:val="a9"/>
      </w:pPr>
    </w:p>
    <w:p w:rsidRPr="002E3CE4" w:rsidR="002E3CE4" w:rsidP="00500D00" w:rsidRDefault="002E3CE4" w14:paraId="1E68CAE4" w14:textId="7BE47CAA">
      <w:pPr>
        <w:pStyle w:val="a9"/>
      </w:pPr>
      <w:r w:rsidRPr="002E3CE4">
        <w:t>Опыт</w:t>
      </w:r>
    </w:p>
    <w:p w:rsidRPr="002E3CE4" w:rsidR="002E3CE4" w:rsidP="0030505A" w:rsidRDefault="002E3CE4" w14:paraId="353C415B" w14:textId="2B659D36">
      <w:pPr>
        <w:pStyle w:val="a7"/>
      </w:pPr>
      <w:r w:rsidRPr="6F294666" w:rsidR="002E3CE4">
        <w:rPr>
          <w:rStyle w:val="ac"/>
        </w:rPr>
        <w:t xml:space="preserve">Наталья имеет более чем </w:t>
      </w:r>
      <w:r w:rsidRPr="6F294666" w:rsidR="002E3CE4">
        <w:rPr>
          <w:rStyle w:val="ac"/>
        </w:rPr>
        <w:t>15-ти</w:t>
      </w:r>
      <w:r w:rsidRPr="6F294666" w:rsidR="551F1253">
        <w:rPr>
          <w:rStyle w:val="ac"/>
        </w:rPr>
        <w:t xml:space="preserve"> </w:t>
      </w:r>
      <w:r w:rsidRPr="6F294666" w:rsidR="002E3CE4">
        <w:rPr>
          <w:rStyle w:val="ac"/>
        </w:rPr>
        <w:t>летний</w:t>
      </w:r>
      <w:r w:rsidRPr="6F294666" w:rsidR="002E3CE4">
        <w:rPr>
          <w:rStyle w:val="ac"/>
        </w:rPr>
        <w:t xml:space="preserve"> опыт в сфере юриспруденции и налогового консультирования</w:t>
      </w:r>
      <w:r w:rsidR="002E3CE4">
        <w:rPr/>
        <w:t xml:space="preserve">. </w:t>
      </w:r>
    </w:p>
    <w:p w:rsidRPr="002E3CE4" w:rsidR="002E3CE4" w:rsidP="00500D00" w:rsidRDefault="002E3CE4" w14:paraId="63A40032" w14:textId="77777777">
      <w:pPr>
        <w:pStyle w:val="ab"/>
      </w:pPr>
      <w:r w:rsidRPr="002E3CE4">
        <w:t xml:space="preserve">За плечами Натальи в составе команды О2 целый ряд успешно реализованных сделок M&amp;A в сферах ритейла, телекоммуникаций, медиа, IT и цифровых технологий, недвижимости, производства и сельского хозяйства. Второй ключевой специализацией Натальи является налоговое сопровождение инвестиций и структурирование активов, консультирование по вопросам российского и международного (трансграничного) налогообложения. </w:t>
      </w:r>
    </w:p>
    <w:p w:rsidRPr="002E3CE4" w:rsidR="002E3CE4" w:rsidP="00500D00" w:rsidRDefault="002E3CE4" w14:paraId="25A86A96" w14:textId="77777777">
      <w:pPr>
        <w:pStyle w:val="ab"/>
      </w:pPr>
      <w:r w:rsidRPr="002E3CE4">
        <w:t>В O2 Consulting Наталья руководит проектами по сопровождению сделок M&amp;A, структурируемых по российскому праву, является ведущим специалистом компании в области российского и международного налогового планирования, и защиты активов и бизнеса.</w:t>
      </w:r>
    </w:p>
    <w:p w:rsidRPr="002E3CE4" w:rsidR="002E3CE4" w:rsidP="0030505A" w:rsidRDefault="002E3CE4" w14:paraId="490DCFF6" w14:textId="77777777">
      <w:pPr>
        <w:pStyle w:val="a9"/>
      </w:pPr>
      <w:r w:rsidR="002E3CE4">
        <w:rPr/>
        <w:t>Индивидуальное признание</w:t>
      </w:r>
    </w:p>
    <w:p w:rsidR="105DD31F" w:rsidP="6F294666" w:rsidRDefault="105DD31F" w14:paraId="5D4BD73E" w14:textId="2E64998C">
      <w:pPr>
        <w:pStyle w:val="a"/>
        <w:suppressLineNumbers w:val="0"/>
        <w:bidi w:val="0"/>
        <w:spacing w:before="0" w:beforeAutospacing="off" w:after="120" w:afterAutospacing="off" w:line="276" w:lineRule="auto"/>
        <w:ind w:left="0" w:right="0"/>
        <w:jc w:val="both"/>
        <w:rPr>
          <w:rFonts w:ascii="Fira Sans" w:hAnsi="Fira Sans" w:eastAsia="Fira Sans" w:cs="Fira Sans"/>
          <w:noProof w:val="0"/>
          <w:sz w:val="20"/>
          <w:szCs w:val="20"/>
          <w:lang w:val="ru-RU"/>
        </w:rPr>
      </w:pPr>
      <w:r w:rsidRPr="6F294666" w:rsidR="105DD31F">
        <w:rPr>
          <w:rFonts w:ascii="Fira Sans" w:hAnsi="Fira Sans" w:eastAsia="Arial Unicode MS" w:cs="Arial"/>
          <w:noProof w:val="0"/>
          <w:sz w:val="20"/>
          <w:szCs w:val="20"/>
          <w:lang w:val="ru-RU"/>
        </w:rPr>
        <w:t>Российская Газета, 2025 -</w:t>
      </w:r>
      <w:r w:rsidRPr="6F294666" w:rsidR="105DD31F">
        <w:rPr>
          <w:rFonts w:ascii="Fira Sans" w:hAnsi="Fira Sans" w:eastAsia="Fira Sans" w:cs="Fira Sans"/>
          <w:noProof w:val="0"/>
          <w:sz w:val="20"/>
          <w:szCs w:val="20"/>
          <w:lang w:val="ru-RU"/>
        </w:rPr>
        <w:t xml:space="preserve"> </w:t>
      </w:r>
      <w:r w:rsidRPr="6F294666" w:rsidR="105DD31F">
        <w:rPr>
          <w:rFonts w:ascii="Fira Sans" w:hAnsi="Fira Sans" w:eastAsia="Fira Sans" w:cs="Fira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ru-RU"/>
        </w:rPr>
        <w:t xml:space="preserve">Корпоративное право, Слияния и поглощения бизнеса, Налоги, Недвижимость и ЖКХ </w:t>
      </w:r>
    </w:p>
    <w:p w:rsidR="2266EFFC" w:rsidP="0D71C614" w:rsidRDefault="2266EFFC" w14:paraId="410A566D" w14:textId="4559CC7E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>Коммерсантъ, 2025 – Лучшие юристы, Ритейл и торговля, FMCG, Энергетика и природные р</w:t>
      </w:r>
      <w:r w:rsidRPr="0D71C614" w:rsidR="6D6DEAFC">
        <w:rPr>
          <w:rFonts w:ascii="Fira Sans" w:hAnsi="Fira Sans" w:eastAsia="Arial Unicode MS" w:cs="Arial"/>
          <w:sz w:val="20"/>
          <w:szCs w:val="20"/>
        </w:rPr>
        <w:t>есурсы, Корпоративное право/слияния и поглощения, Строительство и недвижимость, Финансовое и банковское право</w:t>
      </w:r>
      <w:r w:rsidRPr="0D71C614">
        <w:rPr>
          <w:rFonts w:ascii="Fira Sans" w:hAnsi="Fira Sans" w:eastAsia="Arial Unicode MS" w:cs="Arial"/>
          <w:sz w:val="20"/>
          <w:szCs w:val="20"/>
        </w:rPr>
        <w:t>, федеральный рейтинг</w:t>
      </w:r>
    </w:p>
    <w:p w:rsidR="19AEC8BF" w:rsidP="0D71C614" w:rsidRDefault="19AEC8BF" w14:paraId="21E7A931" w14:textId="68FD3B64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>Право300, 2025 – Индивидуальный рейтинг (партнеры и руководители практик; федеральный рейтинг): Корпоративное право/Слияния и поглощения High Market), Недвижимость, земля, строительство (</w:t>
      </w:r>
      <w:proofErr w:type="spellStart"/>
      <w:r w:rsidRPr="0D71C614">
        <w:rPr>
          <w:rFonts w:ascii="Fira Sans" w:hAnsi="Fira Sans" w:eastAsia="Arial Unicode MS" w:cs="Arial"/>
          <w:sz w:val="20"/>
          <w:szCs w:val="20"/>
        </w:rPr>
        <w:t>Mid</w:t>
      </w:r>
      <w:proofErr w:type="spellEnd"/>
      <w:r w:rsidRPr="0D71C614">
        <w:rPr>
          <w:rFonts w:ascii="Fira Sans" w:hAnsi="Fira Sans" w:eastAsia="Arial Unicode MS" w:cs="Arial"/>
          <w:sz w:val="20"/>
          <w:szCs w:val="20"/>
        </w:rPr>
        <w:t xml:space="preserve"> M</w:t>
      </w:r>
      <w:r w:rsidRPr="0D71C614" w:rsidR="252712C1">
        <w:rPr>
          <w:rFonts w:ascii="Fira Sans" w:hAnsi="Fira Sans" w:eastAsia="Arial Unicode MS" w:cs="Arial"/>
          <w:sz w:val="20"/>
          <w:szCs w:val="20"/>
        </w:rPr>
        <w:t>arket), Ритейл, FMCG, общественное питание</w:t>
      </w:r>
    </w:p>
    <w:p w:rsidR="23A2AAE9" w:rsidP="0D71C614" w:rsidRDefault="23A2AAE9" w14:paraId="7764564F" w14:textId="12FEAFE9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>Российская газета, 2024 - Индивидуальный рейтинг (Слияния и поглощения бизнеса)</w:t>
      </w:r>
    </w:p>
    <w:p w:rsidR="49ADA0FF" w:rsidP="0D71C614" w:rsidRDefault="49ADA0FF" w14:paraId="27226899" w14:textId="4AFDB159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>Коммерсантъ, 2024 – Лучшие юристы, Интеллектуальная собственность, Налогообложение: Налоговое консультирование, федеральный рейтинг</w:t>
      </w:r>
    </w:p>
    <w:p w:rsidR="0249F910" w:rsidP="0D71C614" w:rsidRDefault="0249F910" w14:paraId="6FA9C02F" w14:textId="0884C2C5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>Право300, 2024 – Индивидуальный рейтинг (партнеры и руководители практик; федеральный рейтинг): Корпоративное право/Слияния и поглощения High Market)</w:t>
      </w:r>
      <w:r w:rsidRPr="0D71C614" w:rsidR="56188E1D">
        <w:rPr>
          <w:rFonts w:ascii="Fira Sans" w:hAnsi="Fira Sans" w:eastAsia="Arial Unicode MS" w:cs="Arial"/>
          <w:sz w:val="20"/>
          <w:szCs w:val="20"/>
        </w:rPr>
        <w:t xml:space="preserve">, </w:t>
      </w:r>
      <w:r w:rsidRPr="0D71C614" w:rsidR="50CD8B40">
        <w:rPr>
          <w:rFonts w:ascii="Fira Sans" w:hAnsi="Fira Sans" w:eastAsia="Arial Unicode MS" w:cs="Arial"/>
          <w:sz w:val="20"/>
          <w:szCs w:val="20"/>
        </w:rPr>
        <w:t>ГЧП/Инфраструктурные проекты, Природные ресурсы/Энергетика</w:t>
      </w:r>
    </w:p>
    <w:p w:rsidR="3DC3632C" w:rsidP="0D71C614" w:rsidRDefault="3DC3632C" w14:paraId="0E2A2D7A" w14:textId="3A9677E1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 xml:space="preserve">Коммерсантъ, 2023 – </w:t>
      </w:r>
      <w:r w:rsidRPr="0D71C614" w:rsidR="2677013C">
        <w:rPr>
          <w:rFonts w:ascii="Fira Sans" w:hAnsi="Fira Sans" w:eastAsia="Arial Unicode MS" w:cs="Arial"/>
          <w:sz w:val="20"/>
          <w:szCs w:val="20"/>
        </w:rPr>
        <w:t>Лучшие юристы</w:t>
      </w:r>
      <w:r w:rsidRPr="0D71C614">
        <w:rPr>
          <w:rFonts w:ascii="Fira Sans" w:hAnsi="Fira Sans" w:eastAsia="Arial Unicode MS" w:cs="Arial"/>
          <w:sz w:val="20"/>
          <w:szCs w:val="20"/>
        </w:rPr>
        <w:t xml:space="preserve">, </w:t>
      </w:r>
      <w:r w:rsidRPr="0D71C614" w:rsidR="1D9F0CAD">
        <w:rPr>
          <w:rFonts w:ascii="Fira Sans" w:hAnsi="Fira Sans" w:eastAsia="Arial Unicode MS" w:cs="Arial"/>
          <w:sz w:val="20"/>
          <w:szCs w:val="20"/>
        </w:rPr>
        <w:t>Интеллектуальная собственность</w:t>
      </w:r>
      <w:r w:rsidRPr="0D71C614">
        <w:rPr>
          <w:rFonts w:ascii="Fira Sans" w:hAnsi="Fira Sans" w:eastAsia="Arial Unicode MS" w:cs="Arial"/>
          <w:sz w:val="20"/>
          <w:szCs w:val="20"/>
        </w:rPr>
        <w:t>, федеральный рейтинг</w:t>
      </w:r>
    </w:p>
    <w:p w:rsidRPr="002E3CE4" w:rsidR="002E3CE4" w:rsidP="002E3CE4" w:rsidRDefault="002E3CE4" w14:paraId="31EFF78B" w14:textId="6728830F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D71C614">
        <w:rPr>
          <w:rFonts w:ascii="Fira Sans" w:hAnsi="Fira Sans" w:eastAsia="Arial Unicode MS" w:cs="Arial"/>
          <w:sz w:val="20"/>
          <w:szCs w:val="20"/>
        </w:rPr>
        <w:t xml:space="preserve">Право300, 2023 – Индивидуальный рейтинг (партнеры и руководители практик; федеральный рейтинг): Корпоративное Право/Слияния и поглощения High-End) </w:t>
      </w:r>
    </w:p>
    <w:p w:rsidRPr="002E3CE4" w:rsidR="002E3CE4" w:rsidP="002E3CE4" w:rsidRDefault="002E3CE4" w14:paraId="5DF86DE7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lastRenderedPageBreak/>
        <w:t>Право300, 2022 – Индивидуальный рейтинг (рекомендованные юристы): Корпоративное Право/Слияния И Поглощения (</w:t>
      </w:r>
      <w:proofErr w:type="spellStart"/>
      <w:r w:rsidRPr="002E3CE4">
        <w:rPr>
          <w:rFonts w:ascii="Fira Sans" w:hAnsi="Fira Sans" w:eastAsia="Arial Unicode MS" w:cs="Arial"/>
          <w:sz w:val="20"/>
          <w:szCs w:val="20"/>
        </w:rPr>
        <w:t>Mid</w:t>
      </w:r>
      <w:proofErr w:type="spellEnd"/>
      <w:r w:rsidRPr="002E3CE4">
        <w:rPr>
          <w:rFonts w:ascii="Fira Sans" w:hAnsi="Fira Sans" w:eastAsia="Arial Unicode MS" w:cs="Arial"/>
          <w:sz w:val="20"/>
          <w:szCs w:val="20"/>
        </w:rPr>
        <w:t xml:space="preserve"> Market) – 1 группа, Налоговое Консультирование И Споры (Налоговое Консультирование) – 2 группа</w:t>
      </w:r>
    </w:p>
    <w:p w:rsidRPr="002E3CE4" w:rsidR="002E3CE4" w:rsidP="002E3CE4" w:rsidRDefault="002E3CE4" w14:paraId="1E9D3207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  <w:lang w:val="en-US"/>
        </w:rPr>
      </w:pPr>
      <w:r w:rsidRPr="002E3CE4">
        <w:rPr>
          <w:rFonts w:ascii="Fira Sans" w:hAnsi="Fira Sans" w:eastAsia="Arial Unicode MS" w:cs="Arial"/>
          <w:sz w:val="20"/>
          <w:szCs w:val="20"/>
          <w:lang w:val="en-US"/>
        </w:rPr>
        <w:t>Best Lawyers, 2022 - Tax Law</w:t>
      </w:r>
    </w:p>
    <w:p w:rsidRPr="002E3CE4" w:rsidR="002E3CE4" w:rsidP="002E3CE4" w:rsidRDefault="002E3CE4" w14:paraId="0F94FABB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  <w:lang w:val="en-US"/>
        </w:rPr>
      </w:pPr>
      <w:r w:rsidRPr="002E3CE4">
        <w:rPr>
          <w:rFonts w:ascii="Fira Sans" w:hAnsi="Fira Sans" w:eastAsia="Arial Unicode MS" w:cs="Arial"/>
          <w:sz w:val="20"/>
          <w:szCs w:val="20"/>
          <w:lang w:val="en-US"/>
        </w:rPr>
        <w:t>Best Lawyers, 2021 – Tax Law</w:t>
      </w:r>
    </w:p>
    <w:p w:rsidRPr="002E3CE4" w:rsidR="002E3CE4" w:rsidP="002E3CE4" w:rsidRDefault="002E3CE4" w14:paraId="616396A6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>Коммерсантъ, 2021 – Индивидуальный рейтинг юристов, Налогообложение: налоговое консультирование, федеральный рейтинг</w:t>
      </w:r>
    </w:p>
    <w:p w:rsidRPr="002E3CE4" w:rsidR="002E3CE4" w:rsidP="002E3CE4" w:rsidRDefault="002E3CE4" w14:paraId="4497396B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 xml:space="preserve">The Legal 500, Russia,2020 – Индивидуальный рейтинг в направлении </w:t>
      </w:r>
      <w:proofErr w:type="spellStart"/>
      <w:r w:rsidRPr="002E3CE4">
        <w:rPr>
          <w:rFonts w:ascii="Fira Sans" w:hAnsi="Fira Sans" w:eastAsia="Arial Unicode MS" w:cs="Arial"/>
          <w:sz w:val="20"/>
          <w:szCs w:val="20"/>
        </w:rPr>
        <w:t>Tax</w:t>
      </w:r>
      <w:proofErr w:type="spellEnd"/>
    </w:p>
    <w:p w:rsidRPr="002E3CE4" w:rsidR="002E3CE4" w:rsidP="002E3CE4" w:rsidRDefault="002E3CE4" w14:paraId="788292E9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>Право300, 2020 – Индивидуальный рейтинг (рекомендованные юристы): Налоговое консультирование</w:t>
      </w:r>
    </w:p>
    <w:p w:rsidRPr="002E3CE4" w:rsidR="002E3CE4" w:rsidP="002E3CE4" w:rsidRDefault="002E3CE4" w14:paraId="444AFB11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 xml:space="preserve">The Legal 500, Russia, 2019 – Индивидуальный рейтинг в направлении </w:t>
      </w:r>
      <w:proofErr w:type="spellStart"/>
      <w:r w:rsidRPr="002E3CE4">
        <w:rPr>
          <w:rFonts w:ascii="Fira Sans" w:hAnsi="Fira Sans" w:eastAsia="Arial Unicode MS" w:cs="Arial"/>
          <w:sz w:val="20"/>
          <w:szCs w:val="20"/>
        </w:rPr>
        <w:t>Tax</w:t>
      </w:r>
      <w:proofErr w:type="spellEnd"/>
    </w:p>
    <w:p w:rsidRPr="002E3CE4" w:rsidR="002E3CE4" w:rsidP="002E3CE4" w:rsidRDefault="002E3CE4" w14:paraId="0B8E8FEC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 xml:space="preserve">The Legal 500, Russia, 2019 – Индивидуальный рейтинг в направлении Private </w:t>
      </w:r>
      <w:proofErr w:type="spellStart"/>
      <w:r w:rsidRPr="002E3CE4">
        <w:rPr>
          <w:rFonts w:ascii="Fira Sans" w:hAnsi="Fira Sans" w:eastAsia="Arial Unicode MS" w:cs="Arial"/>
          <w:sz w:val="20"/>
          <w:szCs w:val="20"/>
        </w:rPr>
        <w:t>client</w:t>
      </w:r>
      <w:proofErr w:type="spellEnd"/>
    </w:p>
    <w:p w:rsidRPr="002E3CE4" w:rsidR="002E3CE4" w:rsidP="002E3CE4" w:rsidRDefault="002E3CE4" w14:paraId="773414EB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>The Legal 500, Russia, 2018 – Индивидуальный рейтинг</w:t>
      </w:r>
    </w:p>
    <w:p w:rsidRPr="002E3CE4" w:rsidR="002E3CE4" w:rsidP="002E3CE4" w:rsidRDefault="002E3CE4" w14:paraId="24136074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>Право300, 2019 – Индивидуальный рейтинг (рекомендованные юристы): Налоговое консультирование</w:t>
      </w:r>
    </w:p>
    <w:p w:rsidRPr="002E3CE4" w:rsidR="002E3CE4" w:rsidP="0030505A" w:rsidRDefault="002E3CE4" w14:paraId="1667F6F8" w14:textId="77777777">
      <w:pPr>
        <w:pStyle w:val="a9"/>
      </w:pPr>
      <w:r w:rsidRPr="002E3CE4">
        <w:t>Образование</w:t>
      </w:r>
    </w:p>
    <w:p w:rsidRPr="002E3CE4" w:rsidR="002E3CE4" w:rsidP="002E3CE4" w:rsidRDefault="002E3CE4" w14:paraId="2D7A3DBE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 xml:space="preserve">Наталья закончила юридический факультет ГУ ВШЭ. </w:t>
      </w:r>
    </w:p>
    <w:p w:rsidRPr="002E3CE4" w:rsidR="002E3CE4" w:rsidP="002E3CE4" w:rsidRDefault="002E3CE4" w14:paraId="459F7DF6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 xml:space="preserve">Является автором статей и публикаций по вопросам корпоративного права и налогообложения. </w:t>
      </w:r>
    </w:p>
    <w:p w:rsidR="002E3CE4" w:rsidP="002E3CE4" w:rsidRDefault="002E3CE4" w14:paraId="12B01B57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  <w:r w:rsidRPr="002E3CE4">
        <w:rPr>
          <w:rFonts w:ascii="Fira Sans" w:hAnsi="Fira Sans" w:eastAsia="Arial Unicode MS" w:cs="Arial"/>
          <w:sz w:val="20"/>
          <w:szCs w:val="20"/>
        </w:rPr>
        <w:t>Свободно владеет русским, английским и итальянским языками.</w:t>
      </w:r>
    </w:p>
    <w:p w:rsidR="006B2DDC" w:rsidP="006B2DDC" w:rsidRDefault="006B2DDC" w14:paraId="1F9D336B" w14:textId="1A2F8EA5">
      <w:pPr>
        <w:pStyle w:val="a9"/>
      </w:pPr>
      <w:r w:rsidRPr="00ED4369">
        <w:t xml:space="preserve">Среди успешно завершенных проектов </w:t>
      </w:r>
      <w:r>
        <w:t>Натальи</w:t>
      </w:r>
      <w:r w:rsidRPr="00ED4369">
        <w:t xml:space="preserve"> можно выделить следующие:</w:t>
      </w:r>
    </w:p>
    <w:p w:rsidRPr="006B2DDC" w:rsidR="006B2DDC" w:rsidP="006B2DDC" w:rsidRDefault="006B2DDC" w14:paraId="413E6DDB" w14:textId="062E7779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3FAA23B1" wp14:editId="510E6992">
            <wp:extent cx="228600" cy="228600"/>
            <wp:effectExtent l="0" t="0" r="0" b="0"/>
            <wp:docPr id="1779355229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>Многомиллиардная сделка по продаже 100% контроля над крупной агро-компанией, специализирующейся на выращивании овощей, ягод и зелени в закрытом грунте.</w:t>
      </w:r>
    </w:p>
    <w:p w:rsidRPr="006B2DDC" w:rsidR="006B2DDC" w:rsidP="006B2DDC" w:rsidRDefault="006B2DDC" w14:paraId="13093F01" w14:textId="64C3FCD6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4DC78DAF" wp14:editId="660E6390">
            <wp:extent cx="228600" cy="228600"/>
            <wp:effectExtent l="0" t="0" r="0" b="0"/>
            <wp:docPr id="2026386479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 xml:space="preserve">Сделка по приобретению у литовской публичной компании </w:t>
      </w:r>
      <w:proofErr w:type="spellStart"/>
      <w:r w:rsidRPr="006B2DDC">
        <w:rPr>
          <w:b w:val="0"/>
          <w:bCs/>
          <w:color w:val="000000"/>
        </w:rPr>
        <w:t>Linas</w:t>
      </w:r>
      <w:proofErr w:type="spellEnd"/>
      <w:r w:rsidRPr="006B2DDC">
        <w:rPr>
          <w:b w:val="0"/>
          <w:bCs/>
          <w:color w:val="000000"/>
        </w:rPr>
        <w:t xml:space="preserve"> </w:t>
      </w:r>
      <w:proofErr w:type="spellStart"/>
      <w:r w:rsidRPr="006B2DDC">
        <w:rPr>
          <w:b w:val="0"/>
          <w:bCs/>
          <w:color w:val="000000"/>
        </w:rPr>
        <w:t>Agro</w:t>
      </w:r>
      <w:proofErr w:type="spellEnd"/>
      <w:r w:rsidRPr="006B2DDC">
        <w:rPr>
          <w:b w:val="0"/>
          <w:bCs/>
          <w:color w:val="000000"/>
        </w:rPr>
        <w:t xml:space="preserve"> Group бизнеса по производству и продаже кормовых добавок для сельскохозяйственных животных и птицы​.</w:t>
      </w:r>
    </w:p>
    <w:p w:rsidRPr="006B2DDC" w:rsidR="006B2DDC" w:rsidP="006B2DDC" w:rsidRDefault="006B2DDC" w14:paraId="64C2D809" w14:textId="69F3D0AC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499956C3" wp14:editId="367C9FE2">
            <wp:extent cx="228600" cy="228600"/>
            <wp:effectExtent l="0" t="0" r="0" b="0"/>
            <wp:docPr id="411940731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>Многомиллиардная сделка по приобретению российских активов ведущей международной табачной компании British American Tobacco консорциумом покупателей во главе с менеджментом (</w:t>
      </w:r>
      <w:proofErr w:type="spellStart"/>
      <w:r w:rsidRPr="006B2DDC">
        <w:rPr>
          <w:b w:val="0"/>
          <w:bCs/>
          <w:color w:val="000000"/>
        </w:rPr>
        <w:t>management</w:t>
      </w:r>
      <w:proofErr w:type="spellEnd"/>
      <w:r w:rsidRPr="006B2DDC">
        <w:rPr>
          <w:b w:val="0"/>
          <w:bCs/>
          <w:color w:val="000000"/>
        </w:rPr>
        <w:t xml:space="preserve"> </w:t>
      </w:r>
      <w:proofErr w:type="spellStart"/>
      <w:r w:rsidRPr="006B2DDC">
        <w:rPr>
          <w:b w:val="0"/>
          <w:bCs/>
          <w:color w:val="000000"/>
        </w:rPr>
        <w:t>buy-out</w:t>
      </w:r>
      <w:proofErr w:type="spellEnd"/>
      <w:r w:rsidRPr="006B2DDC">
        <w:rPr>
          <w:b w:val="0"/>
          <w:bCs/>
          <w:color w:val="000000"/>
        </w:rPr>
        <w:t>).</w:t>
      </w:r>
    </w:p>
    <w:p w:rsidRPr="006B2DDC" w:rsidR="006B2DDC" w:rsidP="006B2DDC" w:rsidRDefault="006B2DDC" w14:paraId="21E6C6D6" w14:textId="3CF2DD4B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4C205DE9" wp14:editId="7E58FA05">
            <wp:extent cx="228600" cy="228600"/>
            <wp:effectExtent l="0" t="0" r="0" b="0"/>
            <wp:docPr id="716146983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 xml:space="preserve">Сделка по внесению инвестиций крупным инвестиционным фондом в одного из лидеров российского рынка </w:t>
      </w:r>
      <w:proofErr w:type="spellStart"/>
      <w:r w:rsidRPr="006B2DDC">
        <w:rPr>
          <w:b w:val="0"/>
          <w:bCs/>
          <w:color w:val="000000"/>
        </w:rPr>
        <w:t>кикшеринга</w:t>
      </w:r>
      <w:proofErr w:type="spellEnd"/>
      <w:r w:rsidRPr="006B2DDC">
        <w:rPr>
          <w:b w:val="0"/>
          <w:bCs/>
          <w:color w:val="000000"/>
        </w:rPr>
        <w:t xml:space="preserve"> (WHOSH) и последующее сопровождение реструктуризации для снижения санкционных рисков​.</w:t>
      </w:r>
    </w:p>
    <w:p w:rsidRPr="006B2DDC" w:rsidR="006B2DDC" w:rsidP="006B2DDC" w:rsidRDefault="006B2DDC" w14:paraId="2D66B2FF" w14:textId="1A890581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15A4EA93" wp14:editId="281D126F">
            <wp:extent cx="228600" cy="228600"/>
            <wp:effectExtent l="0" t="0" r="0" b="0"/>
            <wp:docPr id="1142884023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 xml:space="preserve">Сделка по объединению российских региональных активов крупного международного игрока </w:t>
      </w:r>
      <w:proofErr w:type="spellStart"/>
      <w:r w:rsidRPr="006B2DDC">
        <w:rPr>
          <w:b w:val="0"/>
          <w:bCs/>
          <w:color w:val="000000"/>
        </w:rPr>
        <w:t>duty-free</w:t>
      </w:r>
      <w:proofErr w:type="spellEnd"/>
      <w:r w:rsidRPr="006B2DDC">
        <w:rPr>
          <w:b w:val="0"/>
          <w:bCs/>
          <w:color w:val="000000"/>
        </w:rPr>
        <w:t xml:space="preserve"> отрасли (</w:t>
      </w:r>
      <w:proofErr w:type="spellStart"/>
      <w:r w:rsidRPr="006B2DDC">
        <w:rPr>
          <w:b w:val="0"/>
          <w:bCs/>
          <w:color w:val="000000"/>
        </w:rPr>
        <w:t>Dufry</w:t>
      </w:r>
      <w:proofErr w:type="spellEnd"/>
      <w:r w:rsidRPr="006B2DDC">
        <w:rPr>
          <w:b w:val="0"/>
          <w:bCs/>
          <w:color w:val="000000"/>
        </w:rPr>
        <w:t xml:space="preserve"> AG, Швейцария) с российским партнером.</w:t>
      </w:r>
    </w:p>
    <w:p w:rsidRPr="006B2DDC" w:rsidR="006B2DDC" w:rsidP="006B2DDC" w:rsidRDefault="006B2DDC" w14:paraId="57ED9D67" w14:textId="5299D490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727C6902" wp14:editId="3F4A7FFE">
            <wp:extent cx="228600" cy="228600"/>
            <wp:effectExtent l="0" t="0" r="0" b="0"/>
            <wp:docPr id="2074822391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 xml:space="preserve">Сделка по продаже фондом </w:t>
      </w:r>
      <w:proofErr w:type="spellStart"/>
      <w:r w:rsidRPr="006B2DDC">
        <w:rPr>
          <w:b w:val="0"/>
          <w:bCs/>
          <w:color w:val="000000"/>
        </w:rPr>
        <w:t>СмартТех</w:t>
      </w:r>
      <w:proofErr w:type="spellEnd"/>
      <w:r w:rsidRPr="006B2DDC">
        <w:rPr>
          <w:b w:val="0"/>
          <w:bCs/>
          <w:color w:val="000000"/>
        </w:rPr>
        <w:t xml:space="preserve"> (венчурный фонд, ранее входивший в периметр АФК Система) доли в </w:t>
      </w:r>
      <w:proofErr w:type="spellStart"/>
      <w:r w:rsidRPr="006B2DDC">
        <w:rPr>
          <w:b w:val="0"/>
          <w:bCs/>
          <w:color w:val="000000"/>
        </w:rPr>
        <w:t>кикшеринговом</w:t>
      </w:r>
      <w:proofErr w:type="spellEnd"/>
      <w:r w:rsidRPr="006B2DDC">
        <w:rPr>
          <w:b w:val="0"/>
          <w:bCs/>
          <w:color w:val="000000"/>
        </w:rPr>
        <w:t xml:space="preserve"> сервисе </w:t>
      </w:r>
      <w:proofErr w:type="spellStart"/>
      <w:r w:rsidRPr="006B2DDC">
        <w:rPr>
          <w:b w:val="0"/>
          <w:bCs/>
          <w:color w:val="000000"/>
        </w:rPr>
        <w:t>Urent</w:t>
      </w:r>
      <w:proofErr w:type="spellEnd"/>
      <w:r w:rsidRPr="006B2DDC">
        <w:rPr>
          <w:b w:val="0"/>
          <w:bCs/>
          <w:color w:val="000000"/>
        </w:rPr>
        <w:t xml:space="preserve"> в рамках выкупа контрольного пакета </w:t>
      </w:r>
      <w:proofErr w:type="spellStart"/>
      <w:r w:rsidRPr="006B2DDC">
        <w:rPr>
          <w:b w:val="0"/>
          <w:bCs/>
          <w:color w:val="000000"/>
        </w:rPr>
        <w:t>МТСом</w:t>
      </w:r>
      <w:proofErr w:type="spellEnd"/>
      <w:r w:rsidRPr="006B2DDC">
        <w:rPr>
          <w:b w:val="0"/>
          <w:bCs/>
          <w:color w:val="000000"/>
        </w:rPr>
        <w:t>.</w:t>
      </w:r>
    </w:p>
    <w:p w:rsidRPr="006B2DDC" w:rsidR="006B2DDC" w:rsidP="006B2DDC" w:rsidRDefault="006B2DDC" w14:paraId="51BC5E2B" w14:textId="7DEC10FD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6454A61B" wp14:editId="4E34165B">
            <wp:extent cx="228600" cy="228600"/>
            <wp:effectExtent l="0" t="0" r="0" b="0"/>
            <wp:docPr id="11549797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B2DDC">
        <w:rPr>
          <w:b w:val="0"/>
          <w:bCs/>
          <w:color w:val="000000"/>
        </w:rPr>
        <w:t>Cоздание</w:t>
      </w:r>
      <w:proofErr w:type="spellEnd"/>
      <w:r w:rsidRPr="006B2DDC">
        <w:rPr>
          <w:b w:val="0"/>
          <w:bCs/>
          <w:color w:val="000000"/>
        </w:rPr>
        <w:t xml:space="preserve"> совместного предприятия для структурирования коллективной сделки по покупке платформы нативных интеграций и рекламы в Телеграмм​.</w:t>
      </w:r>
    </w:p>
    <w:p w:rsidRPr="006B2DDC" w:rsidR="006B2DDC" w:rsidP="006B2DDC" w:rsidRDefault="006B2DDC" w14:paraId="42758B16" w14:textId="1DBF29E7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drawing>
          <wp:inline distT="0" distB="0" distL="0" distR="0" wp14:anchorId="49B75317" wp14:editId="1FCE7390">
            <wp:extent cx="228600" cy="228600"/>
            <wp:effectExtent l="0" t="0" r="0" b="0"/>
            <wp:docPr id="369150960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>Сделка по покупке группы компаний «Городские парковки» компаниями периметра Росатом​.</w:t>
      </w:r>
    </w:p>
    <w:p w:rsidRPr="006B2DDC" w:rsidR="006B2DDC" w:rsidP="006B2DDC" w:rsidRDefault="006B2DDC" w14:paraId="248E4058" w14:textId="39CDC613">
      <w:pPr>
        <w:pStyle w:val="a9"/>
        <w:rPr>
          <w:b w:val="0"/>
          <w:bCs/>
          <w:color w:val="000000"/>
        </w:rPr>
      </w:pPr>
      <w:r w:rsidRPr="0030505A">
        <w:rPr>
          <w:noProof/>
          <w:szCs w:val="22"/>
        </w:rPr>
        <w:lastRenderedPageBreak/>
        <w:drawing>
          <wp:inline distT="0" distB="0" distL="0" distR="0" wp14:anchorId="2634A2B1" wp14:editId="4A1B9921">
            <wp:extent cx="228600" cy="228600"/>
            <wp:effectExtent l="0" t="0" r="0" b="0"/>
            <wp:docPr id="141937652" name="Picture 1051368513" descr="Изображение выглядит как прямоугольный, Красочность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13" name="Picture 1051368513" descr="Изображение выглядит как прямоугольный, Красочность&#10;&#10;Автоматически созданное описание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DDC">
        <w:rPr>
          <w:b w:val="0"/>
          <w:bCs/>
          <w:color w:val="000000"/>
        </w:rPr>
        <w:t xml:space="preserve">Ряд сделок по вхождению инвестора и по последующей частичной продажей инвестором долей в лидере </w:t>
      </w:r>
      <w:proofErr w:type="spellStart"/>
      <w:r w:rsidRPr="006B2DDC">
        <w:rPr>
          <w:b w:val="0"/>
          <w:bCs/>
          <w:color w:val="000000"/>
        </w:rPr>
        <w:t>EdTech</w:t>
      </w:r>
      <w:proofErr w:type="spellEnd"/>
      <w:r w:rsidRPr="006B2DDC">
        <w:rPr>
          <w:b w:val="0"/>
          <w:bCs/>
          <w:color w:val="000000"/>
        </w:rPr>
        <w:t xml:space="preserve"> - компании </w:t>
      </w:r>
      <w:proofErr w:type="spellStart"/>
      <w:r w:rsidRPr="006B2DDC">
        <w:rPr>
          <w:b w:val="0"/>
          <w:bCs/>
          <w:color w:val="000000"/>
        </w:rPr>
        <w:t>Геткурс</w:t>
      </w:r>
      <w:proofErr w:type="spellEnd"/>
      <w:r w:rsidRPr="006B2DDC">
        <w:rPr>
          <w:b w:val="0"/>
          <w:bCs/>
          <w:color w:val="000000"/>
        </w:rPr>
        <w:t>​.</w:t>
      </w:r>
    </w:p>
    <w:p w:rsidRPr="002E3CE4" w:rsidR="006B2DDC" w:rsidP="002E3CE4" w:rsidRDefault="006B2DDC" w14:paraId="3B6B54B3" w14:textId="77777777">
      <w:pPr>
        <w:spacing w:after="120" w:line="276" w:lineRule="auto"/>
        <w:jc w:val="both"/>
        <w:rPr>
          <w:rFonts w:ascii="Fira Sans" w:hAnsi="Fira Sans" w:eastAsia="Arial Unicode MS" w:cs="Arial"/>
          <w:sz w:val="20"/>
          <w:szCs w:val="20"/>
        </w:rPr>
      </w:pPr>
    </w:p>
    <w:p w:rsidR="002A68E4" w:rsidRDefault="002A68E4" w14:paraId="5CD7068A" w14:textId="77777777"/>
    <w:sectPr w:rsidR="002A68E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1A3C"/>
    <w:multiLevelType w:val="hybridMultilevel"/>
    <w:tmpl w:val="3D4045E4"/>
    <w:lvl w:ilvl="0" w:tplc="AA4214A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70944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9DD0E1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402C21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6A2EF9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416235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037C258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3CFC0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A906DA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num w:numId="1" w16cid:durableId="69935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FF"/>
    <w:rsid w:val="00012050"/>
    <w:rsid w:val="00220EFF"/>
    <w:rsid w:val="002A68E4"/>
    <w:rsid w:val="002E3CE4"/>
    <w:rsid w:val="0030505A"/>
    <w:rsid w:val="0037598F"/>
    <w:rsid w:val="00500D00"/>
    <w:rsid w:val="006B2DDC"/>
    <w:rsid w:val="0083712C"/>
    <w:rsid w:val="00B825B2"/>
    <w:rsid w:val="00BA325E"/>
    <w:rsid w:val="00BA6AEA"/>
    <w:rsid w:val="00E25137"/>
    <w:rsid w:val="0249F910"/>
    <w:rsid w:val="02B814C5"/>
    <w:rsid w:val="0D71C614"/>
    <w:rsid w:val="105DD31F"/>
    <w:rsid w:val="10B81614"/>
    <w:rsid w:val="15B44C63"/>
    <w:rsid w:val="18AC4AD4"/>
    <w:rsid w:val="19AEC8BF"/>
    <w:rsid w:val="1D9F0CAD"/>
    <w:rsid w:val="2266EFFC"/>
    <w:rsid w:val="23A2AAE9"/>
    <w:rsid w:val="243F5214"/>
    <w:rsid w:val="252712C1"/>
    <w:rsid w:val="265B4F89"/>
    <w:rsid w:val="2677013C"/>
    <w:rsid w:val="29D99F7C"/>
    <w:rsid w:val="2ABACEA4"/>
    <w:rsid w:val="2FC91E8D"/>
    <w:rsid w:val="31425B2D"/>
    <w:rsid w:val="31EC10FD"/>
    <w:rsid w:val="346ED529"/>
    <w:rsid w:val="3CB4E587"/>
    <w:rsid w:val="3DC3632C"/>
    <w:rsid w:val="449EB685"/>
    <w:rsid w:val="49ADA0FF"/>
    <w:rsid w:val="4ABF0D45"/>
    <w:rsid w:val="4BD3E79A"/>
    <w:rsid w:val="50226639"/>
    <w:rsid w:val="50CD8B40"/>
    <w:rsid w:val="50E60FE5"/>
    <w:rsid w:val="551F1253"/>
    <w:rsid w:val="56188E1D"/>
    <w:rsid w:val="584A8A0E"/>
    <w:rsid w:val="58816F70"/>
    <w:rsid w:val="593497D1"/>
    <w:rsid w:val="5BF5FC6D"/>
    <w:rsid w:val="617AC72C"/>
    <w:rsid w:val="633C6A17"/>
    <w:rsid w:val="63F28F41"/>
    <w:rsid w:val="66611490"/>
    <w:rsid w:val="68B061DC"/>
    <w:rsid w:val="6A4D1BE4"/>
    <w:rsid w:val="6D6DEAFC"/>
    <w:rsid w:val="6F294666"/>
    <w:rsid w:val="730D597B"/>
    <w:rsid w:val="75BD1267"/>
    <w:rsid w:val="7BF5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C9F1"/>
  <w15:chartTrackingRefBased/>
  <w15:docId w15:val="{2D25E8D5-F290-43BA-89F3-3F371207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31" w:customStyle="1">
    <w:name w:val="Сетка таблицы31"/>
    <w:basedOn w:val="a1"/>
    <w:rsid w:val="002E3CE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3" w:customStyle="1">
    <w:name w:val="ФИО"/>
    <w:basedOn w:val="a"/>
    <w:link w:val="a4"/>
    <w:qFormat/>
    <w:rsid w:val="00500D00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 w:val="32"/>
      <w:szCs w:val="32"/>
    </w:rPr>
  </w:style>
  <w:style w:type="paragraph" w:styleId="a5" w:customStyle="1">
    <w:name w:val="Роль"/>
    <w:basedOn w:val="a"/>
    <w:link w:val="a6"/>
    <w:qFormat/>
    <w:rsid w:val="0030505A"/>
    <w:pPr>
      <w:spacing w:after="120" w:line="276" w:lineRule="auto"/>
      <w:jc w:val="both"/>
    </w:pPr>
    <w:rPr>
      <w:rFonts w:ascii="Fira Sans" w:hAnsi="Fira Sans" w:eastAsia="Times New Roman" w:cs="Arial"/>
      <w:b/>
      <w:color w:val="009FDF"/>
      <w:szCs w:val="20"/>
    </w:rPr>
  </w:style>
  <w:style w:type="character" w:styleId="a4" w:customStyle="1">
    <w:name w:val="ФИО Знак"/>
    <w:basedOn w:val="a0"/>
    <w:link w:val="a3"/>
    <w:rsid w:val="00500D00"/>
    <w:rPr>
      <w:rFonts w:ascii="Fira Sans" w:hAnsi="Fira Sans" w:eastAsia="Times New Roman" w:cs="Arial"/>
      <w:b/>
      <w:color w:val="009FDF"/>
      <w:sz w:val="32"/>
      <w:szCs w:val="32"/>
    </w:rPr>
  </w:style>
  <w:style w:type="paragraph" w:styleId="a7" w:customStyle="1">
    <w:name w:val="Краткая информация"/>
    <w:basedOn w:val="a"/>
    <w:link w:val="a8"/>
    <w:qFormat/>
    <w:rsid w:val="0030505A"/>
    <w:pPr>
      <w:spacing w:after="120" w:line="276" w:lineRule="auto"/>
      <w:jc w:val="both"/>
    </w:pPr>
    <w:rPr>
      <w:rFonts w:ascii="Fira Sans" w:hAnsi="Fira Sans" w:eastAsia="Arial Unicode MS" w:cs="Arial"/>
      <w:szCs w:val="20"/>
    </w:rPr>
  </w:style>
  <w:style w:type="character" w:styleId="a6" w:customStyle="1">
    <w:name w:val="Роль Знак"/>
    <w:basedOn w:val="a0"/>
    <w:link w:val="a5"/>
    <w:rsid w:val="0030505A"/>
    <w:rPr>
      <w:rFonts w:ascii="Fira Sans" w:hAnsi="Fira Sans" w:eastAsia="Times New Roman" w:cs="Arial"/>
      <w:b/>
      <w:color w:val="009FDF"/>
      <w:szCs w:val="20"/>
    </w:rPr>
  </w:style>
  <w:style w:type="paragraph" w:styleId="a9" w:customStyle="1">
    <w:name w:val="Подзаголовок."/>
    <w:basedOn w:val="a"/>
    <w:link w:val="aa"/>
    <w:qFormat/>
    <w:rsid w:val="00500D00"/>
    <w:pPr>
      <w:spacing w:after="120" w:line="276" w:lineRule="auto"/>
      <w:jc w:val="both"/>
    </w:pPr>
    <w:rPr>
      <w:rFonts w:ascii="Fira Sans" w:hAnsi="Fira Sans" w:eastAsia="Arial Unicode MS" w:cs="Arial"/>
      <w:b/>
      <w:color w:val="009FDF"/>
      <w:sz w:val="20"/>
      <w:szCs w:val="20"/>
    </w:rPr>
  </w:style>
  <w:style w:type="character" w:styleId="a8" w:customStyle="1">
    <w:name w:val="Краткая информация Знак"/>
    <w:basedOn w:val="a0"/>
    <w:link w:val="a7"/>
    <w:rsid w:val="0030505A"/>
    <w:rPr>
      <w:rFonts w:ascii="Fira Sans" w:hAnsi="Fira Sans" w:eastAsia="Arial Unicode MS" w:cs="Arial"/>
      <w:szCs w:val="20"/>
    </w:rPr>
  </w:style>
  <w:style w:type="paragraph" w:styleId="ab" w:customStyle="1">
    <w:name w:val="Текст."/>
    <w:basedOn w:val="a"/>
    <w:link w:val="ac"/>
    <w:qFormat/>
    <w:rsid w:val="00500D00"/>
    <w:pPr>
      <w:spacing w:after="120" w:line="276" w:lineRule="auto"/>
      <w:jc w:val="both"/>
    </w:pPr>
    <w:rPr>
      <w:rFonts w:ascii="Fira Sans" w:hAnsi="Fira Sans" w:eastAsia="Arial Unicode MS" w:cs="Arial"/>
      <w:sz w:val="20"/>
      <w:szCs w:val="20"/>
    </w:rPr>
  </w:style>
  <w:style w:type="character" w:styleId="aa" w:customStyle="1">
    <w:name w:val="Подзаголовок. Знак"/>
    <w:basedOn w:val="a0"/>
    <w:link w:val="a9"/>
    <w:rsid w:val="00500D00"/>
    <w:rPr>
      <w:rFonts w:ascii="Fira Sans" w:hAnsi="Fira Sans" w:eastAsia="Arial Unicode MS" w:cs="Arial"/>
      <w:b/>
      <w:color w:val="009FDF"/>
      <w:sz w:val="20"/>
      <w:szCs w:val="20"/>
    </w:rPr>
  </w:style>
  <w:style w:type="character" w:styleId="ac" w:customStyle="1">
    <w:name w:val="Текст. Знак"/>
    <w:basedOn w:val="a0"/>
    <w:link w:val="ab"/>
    <w:rsid w:val="00500D00"/>
    <w:rPr>
      <w:rFonts w:ascii="Fira Sans" w:hAnsi="Fira Sans" w:eastAsia="Arial Unicode MS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5403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018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894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22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28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08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241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25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175">
          <w:marLeft w:val="27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image" Target="media/image6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fontTable" Target="fontTable.xml" Id="rId14" /><Relationship Type="http://schemas.openxmlformats.org/officeDocument/2006/relationships/image" Target="/media/image5.png" Id="rId385117776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fb05f-7cc7-4589-a196-4da57bd90c1c">
      <Terms xmlns="http://schemas.microsoft.com/office/infopath/2007/PartnerControls"/>
    </lcf76f155ced4ddcb4097134ff3c332f>
    <_x041d__x043e__x043c__x0435__x0440_ xmlns="ec2f5838-29eb-4f79-bfef-390f47d00918" xsi:nil="true"/>
    <TaxCatchAll xmlns="eb1d006a-1d62-4ee4-872e-16c7b8a4b9ec" xsi:nil="true"/>
    <_x041d__x0415__x0422__x0420__x041e__x0413__x0410__x0422__x042c__x0021__x042f__x0440__x043e__x0441__x043b__x0430__x0432__x043d__x0435__x002d__x043f__x0440__x043e__x0432__x0435__x0440__x0438__x0442__x044c__x0438__x0437__x0430__x0433__x0440__x0443__x0437__x0438__x0442__x044c_ xmlns="39ffb05f-7cc7-4589-a196-4da57bd90c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B35086124D74399749F10E46F7C68" ma:contentTypeVersion="16" ma:contentTypeDescription="Создание документа." ma:contentTypeScope="" ma:versionID="0cfe6fb5a81d309c36b5fa10c3549230">
  <xsd:schema xmlns:xsd="http://www.w3.org/2001/XMLSchema" xmlns:xs="http://www.w3.org/2001/XMLSchema" xmlns:p="http://schemas.microsoft.com/office/2006/metadata/properties" xmlns:ns2="ec2f5838-29eb-4f79-bfef-390f47d00918" xmlns:ns3="26e2e6b2-3498-49c9-83e1-7f5fd35c529d" xmlns:ns4="39ffb05f-7cc7-4589-a196-4da57bd90c1c" xmlns:ns5="eb1d006a-1d62-4ee4-872e-16c7b8a4b9ec" targetNamespace="http://schemas.microsoft.com/office/2006/metadata/properties" ma:root="true" ma:fieldsID="8568a21042cabed1710007d4bf1b3407" ns2:_="" ns3:_="" ns4:_="" ns5:_="">
    <xsd:import namespace="ec2f5838-29eb-4f79-bfef-390f47d00918"/>
    <xsd:import namespace="26e2e6b2-3498-49c9-83e1-7f5fd35c529d"/>
    <xsd:import namespace="39ffb05f-7cc7-4589-a196-4da57bd90c1c"/>
    <xsd:import namespace="eb1d006a-1d62-4ee4-872e-16c7b8a4b9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041d__x043e__x043c__x0435__x0440_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x041d__x0415__x0422__x0420__x041e__x0413__x0410__x0422__x042c__x0021__x042f__x0440__x043e__x0441__x043b__x0430__x0432__x043d__x0435__x002d__x043f__x0440__x043e__x0432__x0435__x0440__x0438__x0442__x044c__x0438__x0437__x0430__x0433__x0440__x0443__x0437__x0438__x0442__x044c_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5838-29eb-4f79-bfef-390f47d00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41d__x043e__x043c__x0435__x0440_" ma:index="10" nillable="true" ma:displayName="Номер" ma:format="Dropdown" ma:internalName="_x041d__x043e__x043c__x0435__x0440_" ma:percentage="FALSE">
      <xsd:simpleType>
        <xsd:restriction base="dms:Number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e6b2-3498-49c9-83e1-7f5fd35c5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b05f-7cc7-4589-a196-4da57bd90c1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4fec125-e965-4c53-afb5-f138087c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 ma:index="24" nillable="true" ma:displayName="НЕ ТРОГАТЬ! Ярославне - проверить и загрузить" ma:format="Dropdown" ma:internalName="_x041d__x0415__x0422__x0420__x041e__x0413__x0410__x0422__x042c__x0021__x042f__x0440__x043e__x0441__x043b__x0430__x0432__x043d__x0435__x002d__x043f__x0440__x043e__x0432__x0435__x0440__x0438__x0442__x044c__x0438__x0437__x0430__x0433__x0440__x0443__x0437__x0438__x0442__x044c_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006a-1d62-4ee4-872e-16c7b8a4b9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0c3e4f0-74b8-4dc8-bfdf-516707c723ce}" ma:internalName="TaxCatchAll" ma:showField="CatchAllData" ma:web="eb1d006a-1d62-4ee4-872e-16c7b8a4b9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11D30-3AD1-4ACA-8336-D3D622486007}">
  <ds:schemaRefs>
    <ds:schemaRef ds:uri="http://schemas.microsoft.com/office/2006/metadata/properties"/>
    <ds:schemaRef ds:uri="http://schemas.microsoft.com/office/infopath/2007/PartnerControls"/>
    <ds:schemaRef ds:uri="39ffb05f-7cc7-4589-a196-4da57bd90c1c"/>
    <ds:schemaRef ds:uri="ec2f5838-29eb-4f79-bfef-390f47d00918"/>
    <ds:schemaRef ds:uri="eb1d006a-1d62-4ee4-872e-16c7b8a4b9ec"/>
  </ds:schemaRefs>
</ds:datastoreItem>
</file>

<file path=customXml/itemProps2.xml><?xml version="1.0" encoding="utf-8"?>
<ds:datastoreItem xmlns:ds="http://schemas.openxmlformats.org/officeDocument/2006/customXml" ds:itemID="{58188B60-DC3E-4751-854D-64544C9CE1B4}"/>
</file>

<file path=customXml/itemProps3.xml><?xml version="1.0" encoding="utf-8"?>
<ds:datastoreItem xmlns:ds="http://schemas.openxmlformats.org/officeDocument/2006/customXml" ds:itemID="{2A230466-4786-4546-9584-4335FEB9EF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Diana Galieva</dc:creator>
  <keywords/>
  <dc:description/>
  <lastModifiedBy>Roman Chernorotov</lastModifiedBy>
  <revision>10</revision>
  <dcterms:created xsi:type="dcterms:W3CDTF">2025-02-06T16:21:00.0000000Z</dcterms:created>
  <dcterms:modified xsi:type="dcterms:W3CDTF">2025-12-29T17:40:04.4769928Z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0x010100FB0B35086124D74399749F10E46F7C68</vt:lpwstr>
  </property>
  <property fmtid="{D5CDD505-2E9C-101B-9397-08002B2CF9AE}" pid="3" name="MediaServiceImageTags">
    <vt:lpwstr/>
  </property>
</Properties>
</file>