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229"/>
      </w:tblGrid>
      <w:tr w:rsidR="00B55D05" w14:paraId="0108C219" w14:textId="77777777" w:rsidTr="2B24625C">
        <w:tc>
          <w:tcPr>
            <w:tcW w:w="2972" w:type="dxa"/>
          </w:tcPr>
          <w:p w14:paraId="03CFD9C1" w14:textId="47961198" w:rsidR="00B55D05" w:rsidRDefault="00B55D05" w:rsidP="00B55D0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2DDD57" wp14:editId="79C16489">
                  <wp:extent cx="457200" cy="457200"/>
                  <wp:effectExtent l="0" t="0" r="0" b="0"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48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70C0FF" wp14:editId="20A8BEDF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397037</wp:posOffset>
                      </wp:positionV>
                      <wp:extent cx="2514616" cy="2369436"/>
                      <wp:effectExtent l="0" t="0" r="12700" b="18415"/>
                      <wp:wrapNone/>
                      <wp:docPr id="1290029329" name="Овал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white">
                              <a:xfrm>
                                <a:off x="0" y="0"/>
                                <a:ext cx="2514616" cy="2369436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5BC2E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Овал 34" style="position:absolute;margin-left:-7.45pt;margin-top:31.25pt;width:198pt;height:18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5bc2e7" strokeweight=".5pt" o:bwmode="white" w14:anchorId="1D14C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gPJgIAAGsEAAAOAAAAZHJzL2Uyb0RvYy54bWysVEtu2zAQ3RfoHQjua8myrdaC5QB1mm76&#10;CZrmADRFWQT4A8la9mV6hqLbXsJHypCUlCAtuijqBS1yZt6b9zTU5uokBToy67hWNZ7PcoyYorrh&#10;6lDj+683r95g5DxRDRFasRqfmcNX25cvNr2pWKE7LRpmEYAoV/Wmxp33psoyRzsmiZtpwxQEW20l&#10;8bC1h6yxpAd0KbIiz8us17YxVlPmHJxepyDeRvy2ZdR/blvHPBI1ht58XG1c92HNthtSHSwxHadD&#10;G+QfupCEKyCdoK6JJ+ib5b9BSU6tdrr1M6plptuWUxY1gJp5/kzNXUcMi1rAHGcmm9z/g6WfjrcW&#10;8QbeXbHO82K9KNYYKSLhXV2+X35eflx+ocUy+NQbV0H6nbm1w87BI9r3H3UD2X3HfWiWVKfWyvAP&#10;6tApWn2erGYnjygcFqv5spyXGFGIFYtyvVyUgSR7LDfW+fdMSxQeasyE4MYlBnL84HzKHrMCodI3&#10;XAg4J5VQqK9xuVjlsSWnBW9CMMScPex3wqIjgaFYvd0V714P1E/SoBGhoJ+gOuhM+p0/C5bwv7AW&#10;fAtSEkOYWDbBEkqZ8vMU6kjDBrYcfiPZWBFVCwWAAbmFLifsAWDMTCAjdjJgyA+lLA78VDxI/1vx&#10;VBGZtfJTseRK2z8pE6BqYE75o0nJmuDXXjdnmAzrxU6ne0cU7TRcO+ptLA5ZMNFR+XD7wpV5uo+w&#10;j9+I7QMAAAD//wMAUEsDBBQABgAIAAAAIQCw5xwG4QAAAAoBAAAPAAAAZHJzL2Rvd25yZXYueG1s&#10;TI/BTsMwEETvSPyDtUjcWsdNE5UQp6oQCMSNUiFxc+xtEhqvo9htwt9jTnBczdPM23I7255dcPSd&#10;IwlimQBD0s501Eg4vD8tNsB8UGRU7wglfKOHbXV9VarCuIne8LIPDYsl5AsloQ1hKDj3ukWr/NIN&#10;SDE7utGqEM+x4WZUUyy3PV8lSc6t6igutGrAhxb1aX+2ErR4/kwPH6+PIc1P2VdfT8cXvZPy9mbe&#10;3QMLOIc/GH71ozpU0al2ZzKe9RIWYn0XUQn5KgMWgXQjBLBawjrNcuBVyf+/UP0AAAD//wMAUEsB&#10;Ai0AFAAGAAgAAAAhALaDOJL+AAAA4QEAABMAAAAAAAAAAAAAAAAAAAAAAFtDb250ZW50X1R5cGVz&#10;XS54bWxQSwECLQAUAAYACAAAACEAOP0h/9YAAACUAQAACwAAAAAAAAAAAAAAAAAvAQAAX3JlbHMv&#10;LnJlbHNQSwECLQAUAAYACAAAACEAnzLIDyYCAABrBAAADgAAAAAAAAAAAAAAAAAuAgAAZHJzL2Uy&#10;b0RvYy54bWxQSwECLQAUAAYACAAAACEAsOccBuEAAAAKAQAADwAAAAAAAAAAAAAAAACABAAAZHJz&#10;L2Rvd25yZXYueG1sUEsFBgAAAAAEAAQA8wAAAI4FAAAAAA==&#10;">
                      <v:stroke joinstyle="miter"/>
                    </v:oval>
                  </w:pict>
                </mc:Fallback>
              </mc:AlternateContent>
            </w:r>
            <w:r w:rsidRPr="006948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4AF2863" wp14:editId="4EAD1A5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523713</wp:posOffset>
                      </wp:positionV>
                      <wp:extent cx="2340610" cy="2212975"/>
                      <wp:effectExtent l="0" t="0" r="0" b="0"/>
                      <wp:wrapNone/>
                      <wp:docPr id="1089542238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610" cy="2212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8A6E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Овал 36" style="position:absolute;margin-left:-.45pt;margin-top:41.25pt;width:184.3pt;height:1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8a6e5" stroked="f" strokeweight="1pt" w14:anchorId="5371B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Q/DwIAAFMEAAAOAAAAZHJzL2Uyb0RvYy54bWysVEuOEzEQ3SNxB6v3pDudSci00hmhGYYN&#10;ghEDB3Dc5bQl/2SbfC7DGRBbLpEjUbY7PcwMYoHIwvGn6lW9V1W9ujooSXbgvDC6LaaTqiCgmemE&#10;3rbFl8+3r5YF8YHqjkqjoS2O4Iur9csXq71toDa9kR04giDaN3vbFn0ItilLz3pQ1E+MBY2P3DhF&#10;Ax7dtuwc3SO6kmVdVYtyb1xnnWHgPd7e5MdinfA5BxY+cu4hENkWmFtIq0vrJq7lekWbraO2F2xI&#10;g/5DFooKjUFHqBsaKPnqxDMoJZgz3vAwYUaVhnPBIHFANtPqCZv7nlpIXFAcb0eZ/P+DZR92d46I&#10;DmtXLS/nF3U9w4ppqrBWp2+nH6fvp59ktog67a1v0Pze3rnh5HEbSR+4U/Ef6ZBD0vY4aguHQBhe&#10;1rOLajHFEjB8q+tpffl6HlHLB3frfHgHRpG4aQuQUlgf+dOG7t77kK3PVvHaGym6WyFlOrjt5lo6&#10;sqOx1ss3i7fnAI/MpI7G2kS3jBhvysgu80m7cJQQ7aT+BBz1iQxSJqkzYYxDGQMdpvmppx3k8PMK&#10;fwO90SORTYARmWP8EXsAiF3/HDtnOdhHV0iNPTpXf0ssO48eKbLRYXRWQhv3JwCJrIbI2f4sUpYm&#10;qrQx3RG7xwV5bfJ8Uc16g+PFgkvO0Qo7NzEfpiyOxu/nBPvwLVj/AgAA//8DAFBLAwQUAAYACAAA&#10;ACEA+SNTgN4AAAAIAQAADwAAAGRycy9kb3ducmV2LnhtbEyPQU+DQBSE7yb+h80z8dYuBUoReTRq&#10;Uk3qqdV43rJPILJvCbul+O9dT3qczGTmm3I7m15MNLrOMsJqGYEgrq3uuEF4f9stchDOK9aqt0wI&#10;3+RgW11flarQ9sIHmo6+EaGEXaEQWu+HQkpXt2SUW9qBOHifdjTKBzk2Uo/qEspNL+MoyqRRHYeF&#10;Vg301FL9dTwbhH39+LGWz/TymqdxmsRTnx32O8Tbm/nhHoSn2f+F4Rc/oEMVmE72zNqJHmFxF4II&#10;ebwGEewk22xAnBDSZBWBrEr5/0D1AwAA//8DAFBLAQItABQABgAIAAAAIQC2gziS/gAAAOEBAAAT&#10;AAAAAAAAAAAAAAAAAAAAAABbQ29udGVudF9UeXBlc10ueG1sUEsBAi0AFAAGAAgAAAAhADj9If/W&#10;AAAAlAEAAAsAAAAAAAAAAAAAAAAALwEAAF9yZWxzLy5yZWxzUEsBAi0AFAAGAAgAAAAhAL+L1D8P&#10;AgAAUwQAAA4AAAAAAAAAAAAAAAAALgIAAGRycy9lMm9Eb2MueG1sUEsBAi0AFAAGAAgAAAAhAPkj&#10;U4DeAAAACAEAAA8AAAAAAAAAAAAAAAAAaQQAAGRycy9kb3ducmV2LnhtbFBLBQYAAAAABAAEAPMA&#10;AAB0BQAAAAA=&#10;">
                      <v:stroke joinstyle="miter"/>
                    </v:oval>
                  </w:pict>
                </mc:Fallback>
              </mc:AlternateContent>
            </w:r>
            <w:r>
              <w:rPr>
                <w:rFonts w:eastAsia="Arial Unicode MS"/>
                <w:noProof/>
              </w:rPr>
              <w:drawing>
                <wp:anchor distT="0" distB="0" distL="114300" distR="114300" simplePos="0" relativeHeight="251658242" behindDoc="0" locked="0" layoutInCell="1" allowOverlap="1" wp14:anchorId="61D8FE55" wp14:editId="5CA1E495">
                  <wp:simplePos x="0" y="0"/>
                  <wp:positionH relativeFrom="column">
                    <wp:posOffset>-68418</wp:posOffset>
                  </wp:positionH>
                  <wp:positionV relativeFrom="paragraph">
                    <wp:posOffset>289560</wp:posOffset>
                  </wp:positionV>
                  <wp:extent cx="2482850" cy="2434590"/>
                  <wp:effectExtent l="0" t="0" r="0" b="3810"/>
                  <wp:wrapSquare wrapText="bothSides"/>
                  <wp:docPr id="656341162" name="Рисунок 1" descr="A person with long brown hair wearing a black suit and blue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341162" name="Рисунок 1" descr="A person with long brown hair wearing a black suit and blue shir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71" b="11257"/>
                          <a:stretch/>
                        </pic:blipFill>
                        <pic:spPr bwMode="auto">
                          <a:xfrm>
                            <a:off x="0" y="0"/>
                            <a:ext cx="2482850" cy="243459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14:paraId="11081FDE" w14:textId="77777777" w:rsidR="00B55D05" w:rsidRPr="00214857" w:rsidRDefault="00B55D05" w:rsidP="00B55D05">
            <w:pPr>
              <w:pStyle w:val="ae"/>
              <w:rPr>
                <w:rFonts w:eastAsia="Arial Unicode MS"/>
              </w:rPr>
            </w:pPr>
            <w:bookmarkStart w:id="0" w:name="_bookmark3"/>
            <w:bookmarkEnd w:id="0"/>
            <w:r w:rsidRPr="00214857">
              <w:rPr>
                <w:rFonts w:eastAsia="Arial Unicode MS"/>
              </w:rPr>
              <w:t>Ирина Бондаренко</w:t>
            </w:r>
          </w:p>
          <w:p w14:paraId="7FBB307B" w14:textId="416A8EF7" w:rsidR="00B55D05" w:rsidRPr="00214857" w:rsidRDefault="00B55D05" w:rsidP="00B55D05">
            <w:pPr>
              <w:pStyle w:val="ac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Старший к</w:t>
            </w:r>
            <w:r w:rsidRPr="00214857">
              <w:rPr>
                <w:rFonts w:eastAsia="Arial Unicode MS"/>
                <w:szCs w:val="22"/>
              </w:rPr>
              <w:t>онсультант практики M&amp;A, прямые и венчурные инвестиции, трансграничные сделки</w:t>
            </w:r>
          </w:p>
          <w:p w14:paraId="4B3FDEA9" w14:textId="77777777" w:rsidR="00B55D05" w:rsidRPr="00214857" w:rsidRDefault="00B55D05" w:rsidP="00B55D05">
            <w:pPr>
              <w:pStyle w:val="aa"/>
              <w:ind w:right="-57"/>
              <w:rPr>
                <w:szCs w:val="22"/>
              </w:rPr>
            </w:pPr>
            <w:r w:rsidRPr="00214857">
              <w:rPr>
                <w:noProof/>
                <w:szCs w:val="22"/>
              </w:rPr>
              <w:drawing>
                <wp:inline distT="0" distB="0" distL="0" distR="0" wp14:anchorId="03C1FD94" wp14:editId="4429D4A9">
                  <wp:extent cx="234950" cy="234950"/>
                  <wp:effectExtent l="0" t="0" r="0" b="0"/>
                  <wp:docPr id="2130940219" name="Рисунок 94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40219" name="Рисунок 94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857">
              <w:rPr>
                <w:szCs w:val="22"/>
              </w:rPr>
              <w:t>Ирина присоединилась к команде O2 Consulting в 2019 году. Ранее работала в Международном арбитражном суде при международной торгово-промышленной палате в Париже и в группе Всемирного банка в Вашингтоне, округ Колумбия.</w:t>
            </w:r>
          </w:p>
          <w:p w14:paraId="6C4DDC86" w14:textId="58B561FC" w:rsidR="00B55D05" w:rsidRPr="00214857" w:rsidRDefault="00B55D05" w:rsidP="00B55D05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13D02337" wp14:editId="68989FC6">
                  <wp:extent cx="234950" cy="234950"/>
                  <wp:effectExtent l="0" t="0" r="0" b="0"/>
                  <wp:docPr id="1703949986" name="Рисунок 93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49986" name="Рисунок 93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Специализируется на </w:t>
            </w:r>
            <w:r w:rsidR="071E5E09">
              <w:t xml:space="preserve">проектах ГЧП, </w:t>
            </w:r>
            <w:r>
              <w:t>международном корпоративном структурировании, трансграничных сделках и санкционном праве.</w:t>
            </w:r>
          </w:p>
          <w:p w14:paraId="57E1806D" w14:textId="0211E670" w:rsidR="00B55D05" w:rsidRPr="00B55D05" w:rsidRDefault="00B55D05" w:rsidP="00B55D05">
            <w:pPr>
              <w:pStyle w:val="a3"/>
              <w:ind w:right="-3" w:firstLine="0"/>
              <w:rPr>
                <w:rFonts w:ascii="Fira Sans" w:hAnsi="Fira Sans" w:cs="Arial"/>
                <w:sz w:val="20"/>
              </w:rPr>
            </w:pPr>
            <w:r w:rsidRPr="00B55D05">
              <w:rPr>
                <w:rFonts w:ascii="Fira Sans" w:hAnsi="Fira Sans"/>
                <w:noProof/>
                <w:szCs w:val="22"/>
              </w:rPr>
              <w:drawing>
                <wp:inline distT="0" distB="0" distL="0" distR="0" wp14:anchorId="652F463D" wp14:editId="61A68A1E">
                  <wp:extent cx="234950" cy="234950"/>
                  <wp:effectExtent l="0" t="0" r="0" b="0"/>
                  <wp:docPr id="92" name="Рисунок 92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Рисунок 92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D05">
              <w:rPr>
                <w:rFonts w:ascii="Fira Sans" w:hAnsi="Fira Sans"/>
                <w:sz w:val="22"/>
                <w:szCs w:val="22"/>
              </w:rPr>
              <w:t>Является членом коллегии адвокатов штата Нью-Йорк, США с 2022 года.</w:t>
            </w:r>
          </w:p>
        </w:tc>
      </w:tr>
      <w:tr w:rsidR="00B8603C" w14:paraId="32F236BE" w14:textId="77777777" w:rsidTr="2B24625C">
        <w:trPr>
          <w:trHeight w:val="8212"/>
        </w:trPr>
        <w:tc>
          <w:tcPr>
            <w:tcW w:w="9209" w:type="dxa"/>
            <w:gridSpan w:val="2"/>
          </w:tcPr>
          <w:p w14:paraId="0C8D9ABE" w14:textId="77777777" w:rsidR="00B55D05" w:rsidRPr="00214857" w:rsidRDefault="00B55D05" w:rsidP="00B55D05">
            <w:pPr>
              <w:pStyle w:val="af0"/>
            </w:pPr>
            <w:r w:rsidRPr="00214857">
              <w:t>Опыт:</w:t>
            </w:r>
          </w:p>
          <w:p w14:paraId="2F762DA3" w14:textId="7A575C9D" w:rsidR="00B55D05" w:rsidRDefault="00B55D05" w:rsidP="00B55D05">
            <w:pPr>
              <w:pStyle w:val="af0"/>
              <w:rPr>
                <w:b w:val="0"/>
                <w:color w:val="auto"/>
              </w:rPr>
            </w:pPr>
            <w:r w:rsidRPr="00060455">
              <w:rPr>
                <w:b w:val="0"/>
                <w:color w:val="auto"/>
              </w:rPr>
              <w:t xml:space="preserve">Имеет более </w:t>
            </w:r>
            <w:r w:rsidR="00C8578A">
              <w:rPr>
                <w:b w:val="0"/>
                <w:color w:val="auto"/>
              </w:rPr>
              <w:t>8</w:t>
            </w:r>
            <w:r w:rsidRPr="00060455">
              <w:rPr>
                <w:b w:val="0"/>
                <w:color w:val="auto"/>
              </w:rPr>
              <w:t xml:space="preserve"> лет опыта работы в сфере юридического консалтинга и правового сопровождения проектов в различных индустриях, в т.ч. энергетического сектора, атомной энергетики, лесной промышленности, сектора FMCG, банковского сектора, телекоммуникаций. </w:t>
            </w:r>
          </w:p>
          <w:p w14:paraId="63C18C0C" w14:textId="77777777" w:rsidR="00B55D05" w:rsidRPr="00DB4ABC" w:rsidRDefault="00B55D05" w:rsidP="00B55D05">
            <w:pPr>
              <w:pStyle w:val="af0"/>
              <w:rPr>
                <w:bCs/>
                <w:color w:val="00A0DF"/>
              </w:rPr>
            </w:pPr>
            <w:r w:rsidRPr="00DB4ABC">
              <w:rPr>
                <w:bCs/>
                <w:color w:val="00A0DF"/>
              </w:rPr>
              <w:t xml:space="preserve">Индивидуальное признание: </w:t>
            </w:r>
          </w:p>
          <w:p w14:paraId="13268D4A" w14:textId="77777777" w:rsidR="00B55D05" w:rsidRPr="00060455" w:rsidRDefault="00B55D05" w:rsidP="00B55D05">
            <w:pPr>
              <w:pStyle w:val="af0"/>
              <w:rPr>
                <w:b w:val="0"/>
                <w:color w:val="auto"/>
              </w:rPr>
            </w:pPr>
            <w:r w:rsidRPr="00060455">
              <w:rPr>
                <w:b w:val="0"/>
                <w:color w:val="auto"/>
              </w:rPr>
              <w:t xml:space="preserve">Право300, 2024 – Индивидуальный рейтинг (рекомендованные юристы): </w:t>
            </w:r>
          </w:p>
          <w:p w14:paraId="49071D0F" w14:textId="77777777" w:rsidR="00B55D05" w:rsidRPr="00060455" w:rsidRDefault="00B55D05" w:rsidP="00B55D05">
            <w:pPr>
              <w:pStyle w:val="af0"/>
              <w:rPr>
                <w:b w:val="0"/>
                <w:color w:val="auto"/>
              </w:rPr>
            </w:pPr>
            <w:r w:rsidRPr="00214857">
              <w:rPr>
                <w:noProof/>
              </w:rPr>
              <w:drawing>
                <wp:inline distT="0" distB="0" distL="0" distR="0" wp14:anchorId="23567A82" wp14:editId="47A695AF">
                  <wp:extent cx="234950" cy="234950"/>
                  <wp:effectExtent l="0" t="0" r="0" b="0"/>
                  <wp:docPr id="1417371961" name="Рисунок 1417371961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71961" name="Рисунок 141737196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auto"/>
              </w:rPr>
              <w:t>К</w:t>
            </w:r>
            <w:r w:rsidRPr="00060455">
              <w:rPr>
                <w:b w:val="0"/>
                <w:color w:val="auto"/>
              </w:rPr>
              <w:t xml:space="preserve">омплаенс;  </w:t>
            </w:r>
          </w:p>
          <w:p w14:paraId="30F2A5BC" w14:textId="77777777" w:rsidR="00B55D05" w:rsidRPr="00060455" w:rsidRDefault="00B55D05" w:rsidP="00B55D05">
            <w:pPr>
              <w:pStyle w:val="af0"/>
              <w:rPr>
                <w:b w:val="0"/>
                <w:color w:val="auto"/>
              </w:rPr>
            </w:pPr>
            <w:r w:rsidRPr="00214857">
              <w:rPr>
                <w:noProof/>
              </w:rPr>
              <w:drawing>
                <wp:inline distT="0" distB="0" distL="0" distR="0" wp14:anchorId="5CC926DA" wp14:editId="2BE44F97">
                  <wp:extent cx="234950" cy="234950"/>
                  <wp:effectExtent l="0" t="0" r="0" b="0"/>
                  <wp:docPr id="1652938902" name="Рисунок 1652938902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938902" name="Рисунок 1652938902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auto"/>
              </w:rPr>
              <w:t>К</w:t>
            </w:r>
            <w:r w:rsidRPr="00060455">
              <w:rPr>
                <w:b w:val="0"/>
                <w:color w:val="auto"/>
              </w:rPr>
              <w:t xml:space="preserve">орпоративное право / слияния и поглощения (High Market);  </w:t>
            </w:r>
          </w:p>
          <w:p w14:paraId="67CCFC9B" w14:textId="29FAFAC2" w:rsidR="00B55D05" w:rsidRDefault="00B55D05" w:rsidP="00B55D05">
            <w:pPr>
              <w:pStyle w:val="af0"/>
              <w:rPr>
                <w:b w:val="0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0CE17E3" wp14:editId="1EB7E9F4">
                  <wp:extent cx="234950" cy="234950"/>
                  <wp:effectExtent l="0" t="0" r="0" b="0"/>
                  <wp:docPr id="826726093" name="Рисунок 826726093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726093" name="Рисунок 826726093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2B24625C">
              <w:rPr>
                <w:b w:val="0"/>
                <w:color w:val="auto"/>
              </w:rPr>
              <w:t>Санкционное право.</w:t>
            </w:r>
          </w:p>
          <w:p w14:paraId="09E5C902" w14:textId="4FABA569" w:rsidR="08DB388A" w:rsidRDefault="3AE6BF54" w:rsidP="08DB388A">
            <w:pPr>
              <w:pStyle w:val="af0"/>
              <w:rPr>
                <w:b w:val="0"/>
                <w:color w:val="auto"/>
              </w:rPr>
            </w:pPr>
            <w:r w:rsidRPr="2B24625C">
              <w:rPr>
                <w:b w:val="0"/>
                <w:color w:val="auto"/>
              </w:rPr>
              <w:t>Российская газета</w:t>
            </w:r>
            <w:r w:rsidR="18A55991" w:rsidRPr="085DD2D1">
              <w:rPr>
                <w:b w:val="0"/>
                <w:color w:val="auto"/>
              </w:rPr>
              <w:t>, 2025</w:t>
            </w:r>
            <w:r w:rsidRPr="2B24625C">
              <w:rPr>
                <w:b w:val="0"/>
                <w:color w:val="auto"/>
              </w:rPr>
              <w:t xml:space="preserve"> - Индивидуальный рейтинг юристов</w:t>
            </w:r>
          </w:p>
          <w:p w14:paraId="6B2E082B" w14:textId="77777777" w:rsidR="00E65742" w:rsidRPr="00EF62C8" w:rsidRDefault="00E65742" w:rsidP="00E65742">
            <w:pPr>
              <w:rPr>
                <w:rFonts w:ascii="Fira Sans" w:hAnsi="Fira Sans"/>
                <w:sz w:val="20"/>
                <w:szCs w:val="20"/>
                <w:lang w:eastAsia="en-US"/>
              </w:rPr>
            </w:pPr>
            <w:r w:rsidRPr="00EF62C8">
              <w:rPr>
                <w:rFonts w:ascii="Fira Sans" w:hAnsi="Fira Sans"/>
                <w:noProof/>
                <w:sz w:val="20"/>
                <w:szCs w:val="20"/>
              </w:rPr>
              <w:drawing>
                <wp:inline distT="0" distB="0" distL="0" distR="0" wp14:anchorId="6BFE08C7" wp14:editId="0BA3AE23">
                  <wp:extent cx="234950" cy="234950"/>
                  <wp:effectExtent l="0" t="0" r="0" b="0"/>
                  <wp:docPr id="11" name="Рисунок 11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726093" name="Рисунок 826726093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2C8">
              <w:rPr>
                <w:rFonts w:ascii="Fira Sans" w:hAnsi="Fira Sans"/>
                <w:sz w:val="20"/>
                <w:szCs w:val="20"/>
                <w:lang w:eastAsia="en-US"/>
              </w:rPr>
              <w:t xml:space="preserve">ГЧП / Инфраструктура (группа 2), </w:t>
            </w:r>
          </w:p>
          <w:p w14:paraId="5FFC455E" w14:textId="77777777" w:rsidR="00E65742" w:rsidRPr="00EF62C8" w:rsidRDefault="00E65742" w:rsidP="00E65742">
            <w:pPr>
              <w:rPr>
                <w:rFonts w:ascii="Fira Sans" w:hAnsi="Fira Sans"/>
                <w:sz w:val="20"/>
                <w:szCs w:val="20"/>
                <w:lang w:eastAsia="en-US"/>
              </w:rPr>
            </w:pPr>
            <w:r w:rsidRPr="00EF62C8">
              <w:rPr>
                <w:rFonts w:ascii="Fira Sans" w:hAnsi="Fira Sans"/>
                <w:noProof/>
                <w:sz w:val="20"/>
                <w:szCs w:val="20"/>
              </w:rPr>
              <w:drawing>
                <wp:inline distT="0" distB="0" distL="0" distR="0" wp14:anchorId="215C214D" wp14:editId="66763D5E">
                  <wp:extent cx="234950" cy="234950"/>
                  <wp:effectExtent l="0" t="0" r="0" b="0"/>
                  <wp:docPr id="13" name="Рисунок 13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726093" name="Рисунок 826726093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2C8">
              <w:rPr>
                <w:rFonts w:ascii="Fira Sans" w:hAnsi="Fira Sans"/>
                <w:sz w:val="20"/>
                <w:szCs w:val="20"/>
                <w:lang w:eastAsia="en-US"/>
              </w:rPr>
              <w:t xml:space="preserve">Санкционное право (группа </w:t>
            </w:r>
            <w:r>
              <w:rPr>
                <w:rFonts w:ascii="Fira Sans" w:hAnsi="Fira Sans"/>
                <w:sz w:val="20"/>
                <w:szCs w:val="20"/>
                <w:lang w:eastAsia="en-US"/>
              </w:rPr>
              <w:t>3</w:t>
            </w:r>
            <w:r w:rsidRPr="00EF62C8">
              <w:rPr>
                <w:rFonts w:ascii="Fira Sans" w:hAnsi="Fira Sans"/>
                <w:sz w:val="20"/>
                <w:szCs w:val="20"/>
                <w:lang w:eastAsia="en-US"/>
              </w:rPr>
              <w:t>);</w:t>
            </w:r>
          </w:p>
          <w:p w14:paraId="7181672B" w14:textId="7C7315FD" w:rsidR="2B24625C" w:rsidRDefault="2B24625C" w:rsidP="2B24625C">
            <w:pPr>
              <w:pStyle w:val="af0"/>
              <w:rPr>
                <w:b w:val="0"/>
                <w:color w:val="auto"/>
              </w:rPr>
            </w:pPr>
          </w:p>
          <w:p w14:paraId="3E03A1F2" w14:textId="77777777" w:rsidR="00B55D05" w:rsidRPr="00214857" w:rsidRDefault="00B55D05" w:rsidP="00B55D05">
            <w:pPr>
              <w:pStyle w:val="af0"/>
            </w:pPr>
            <w:r w:rsidRPr="00214857">
              <w:t xml:space="preserve">Образование: </w:t>
            </w:r>
          </w:p>
          <w:p w14:paraId="2C68A060" w14:textId="77777777" w:rsidR="00B55D05" w:rsidRPr="00214857" w:rsidRDefault="00B55D05" w:rsidP="00B55D05">
            <w:pPr>
              <w:pStyle w:val="af2"/>
            </w:pPr>
            <w:r w:rsidRPr="00214857">
              <w:t xml:space="preserve">В 2014 году с отличием окончила юридический факультет Новосибирского Государственного Университета. </w:t>
            </w:r>
          </w:p>
          <w:p w14:paraId="44DD4616" w14:textId="77777777" w:rsidR="00B55D05" w:rsidRPr="00214857" w:rsidRDefault="00B55D05" w:rsidP="00B55D05">
            <w:pPr>
              <w:pStyle w:val="af2"/>
            </w:pPr>
            <w:r w:rsidRPr="00214857">
              <w:t>В 2014 году с отличием окончила программу дополнительного профессионального образования по специальности «Переводоведение и межкультурная коммуникация» в Новосибирском Государственном Университете.</w:t>
            </w:r>
          </w:p>
          <w:p w14:paraId="77D69135" w14:textId="77777777" w:rsidR="00B55D05" w:rsidRPr="00214857" w:rsidRDefault="00B55D05" w:rsidP="00B55D05">
            <w:pPr>
              <w:pStyle w:val="af2"/>
            </w:pPr>
            <w:r w:rsidRPr="00214857">
              <w:t>В 2018 году окончила магистерскую программу юридического факультета Американского университета в Вашингтоне, округ Колумбия.</w:t>
            </w:r>
          </w:p>
          <w:p w14:paraId="7D8D8893" w14:textId="77777777" w:rsidR="00B55D05" w:rsidRPr="00214857" w:rsidRDefault="00B55D05" w:rsidP="00B55D05">
            <w:pPr>
              <w:pStyle w:val="af2"/>
            </w:pPr>
            <w:r w:rsidRPr="00214857">
              <w:lastRenderedPageBreak/>
              <w:t>Имеет степень магистра юриспруденции.</w:t>
            </w:r>
          </w:p>
          <w:p w14:paraId="39BD6604" w14:textId="77777777" w:rsidR="00B55D05" w:rsidRPr="00214857" w:rsidRDefault="00B55D05" w:rsidP="00B55D05">
            <w:pPr>
              <w:pStyle w:val="af2"/>
            </w:pPr>
            <w:r w:rsidRPr="00214857">
              <w:t>Свободно владеет английским языком. Владеет испанским языком на высоком уровне.</w:t>
            </w:r>
          </w:p>
          <w:p w14:paraId="31FF6F9C" w14:textId="77777777" w:rsidR="00B55D05" w:rsidRPr="00ED4369" w:rsidRDefault="00B55D05" w:rsidP="00B55D05">
            <w:pPr>
              <w:pStyle w:val="af0"/>
            </w:pPr>
            <w:r w:rsidRPr="00ED4369">
              <w:t xml:space="preserve">Среди успешно завершенных проектов </w:t>
            </w:r>
            <w:r>
              <w:t>Ирины</w:t>
            </w:r>
            <w:r w:rsidRPr="00ED4369">
              <w:t xml:space="preserve"> можно выделить следующие:</w:t>
            </w:r>
          </w:p>
          <w:p w14:paraId="7A61F856" w14:textId="77777777" w:rsidR="00377240" w:rsidRPr="00060455" w:rsidRDefault="00377240" w:rsidP="00377240">
            <w:pPr>
              <w:pStyle w:val="af2"/>
              <w:rPr>
                <w:color w:val="00B0F0"/>
              </w:rPr>
            </w:pPr>
            <w:r w:rsidRPr="00060455">
              <w:rPr>
                <w:color w:val="00B0F0"/>
              </w:rPr>
              <w:t xml:space="preserve">Корпоративное право, </w:t>
            </w:r>
            <w:r w:rsidRPr="00060455">
              <w:rPr>
                <w:color w:val="00B0F0"/>
                <w:lang w:val="en-US"/>
              </w:rPr>
              <w:t>M</w:t>
            </w:r>
            <w:r w:rsidRPr="00060455">
              <w:rPr>
                <w:color w:val="00B0F0"/>
              </w:rPr>
              <w:t>&amp;</w:t>
            </w:r>
            <w:r w:rsidRPr="00060455">
              <w:rPr>
                <w:color w:val="00B0F0"/>
                <w:lang w:val="en-US"/>
              </w:rPr>
              <w:t>A</w:t>
            </w:r>
          </w:p>
          <w:p w14:paraId="1B80E86A" w14:textId="77777777" w:rsidR="00377240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3D5F5587" wp14:editId="0D60F0F1">
                  <wp:extent cx="234950" cy="234950"/>
                  <wp:effectExtent l="0" t="0" r="0" b="0"/>
                  <wp:docPr id="8" name="Рисунок 91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852075" name="Рисунок 9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857">
              <w:t>Комплексное юридическое сопровождение международной части многомиллиардной сделки по приобретению активов ведущей международной табачной компании British American Tobacco консорциумом покупателей во главе с менеджментом – одна из крупнейших сделок в сегменте FMCG за 2023 год;</w:t>
            </w:r>
          </w:p>
          <w:p w14:paraId="3B60F703" w14:textId="6C3C8FC9" w:rsidR="00377240" w:rsidRPr="008E43D8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5B07F94F" wp14:editId="5BF42889">
                  <wp:extent cx="234950" cy="234950"/>
                  <wp:effectExtent l="0" t="0" r="0" b="0"/>
                  <wp:docPr id="1" name="Рисунок 91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852075" name="Рисунок 9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43D8">
              <w:t>Юридическое сопровождение бизнеса глобального мирового лидера сегмента travel retail (магазины duty-free и duty-pay) корпорации Dufry AG на территории стран СНГ, включая вопросы реструктуризации</w:t>
            </w:r>
            <w:r w:rsidR="25909D94">
              <w:t xml:space="preserve"> и</w:t>
            </w:r>
            <w:r w:rsidRPr="008E43D8">
              <w:t xml:space="preserve"> санкционного регулирования;</w:t>
            </w:r>
          </w:p>
          <w:p w14:paraId="11F0F307" w14:textId="34C696B8" w:rsidR="00377240" w:rsidRPr="00214857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40C3EBA2" wp14:editId="373373DA">
                  <wp:extent cx="234950" cy="234950"/>
                  <wp:effectExtent l="0" t="0" r="0" b="0"/>
                  <wp:docPr id="9" name="Рисунок 90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776650" name="Рисунок 90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E95" w:rsidRPr="00656E95">
              <w:t xml:space="preserve">Структурирование международного бизнеса и </w:t>
            </w:r>
            <w:r w:rsidR="00EF215D">
              <w:t xml:space="preserve">сопровождение сделок по изменению корпоративной структуры </w:t>
            </w:r>
            <w:r w:rsidR="00656E95" w:rsidRPr="00656E95">
              <w:t>для двух ведущих лесопромышленных холдингов (Группа компаний ВЛП и Группа компаний RFP), разработка операционной структуры для ведения бизнеса на территории стран региона MENA, Восточной и Средней Азии</w:t>
            </w:r>
            <w:r w:rsidR="000D71DD">
              <w:t>;</w:t>
            </w:r>
          </w:p>
          <w:p w14:paraId="63A80B36" w14:textId="77777777" w:rsidR="00377240" w:rsidRPr="00214857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4BF04F68" wp14:editId="5D23211F">
                  <wp:extent cx="228600" cy="228600"/>
                  <wp:effectExtent l="0" t="0" r="0" b="0"/>
                  <wp:docPr id="10" name="Рисунок 89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989911" name="Рисунок 89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455">
              <w:t xml:space="preserve">Разработка и анализ нового структурирования международных холдингов с учетом введенных анти-санкционных и санкционных ограничений, </w:t>
            </w:r>
            <w:r>
              <w:t xml:space="preserve">включая варианты редомициляций, а также </w:t>
            </w:r>
            <w:r w:rsidRPr="00060455">
              <w:t>налоговых последствий, эффективности релевантных корпоративных структур в дружественных юрисдикциях (крупные компании IT сектора, маркетинга и онлайн торговли, предприятия лесной промышленности);</w:t>
            </w:r>
          </w:p>
          <w:p w14:paraId="40C3153F" w14:textId="77777777" w:rsidR="00377240" w:rsidRPr="00214857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27BA8206" wp14:editId="391AD8E7">
                  <wp:extent cx="228600" cy="228600"/>
                  <wp:effectExtent l="0" t="0" r="0" b="0"/>
                  <wp:docPr id="15" name="Рисунок 88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714672" name="Рисунок 88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857">
              <w:t>Анализ международного корпоративного структурирования компаний группы и возможных сделок с долями и акциями компаний группы в иностранных юрисдикциях (</w:t>
            </w:r>
            <w:r w:rsidRPr="00214857">
              <w:rPr>
                <w:lang w:val="en-US"/>
              </w:rPr>
              <w:t>SPLAT</w:t>
            </w:r>
            <w:r w:rsidRPr="00214857">
              <w:t>);</w:t>
            </w:r>
          </w:p>
          <w:p w14:paraId="1712EAAE" w14:textId="77777777" w:rsidR="00377240" w:rsidRDefault="00377240" w:rsidP="00377240">
            <w:pPr>
              <w:jc w:val="both"/>
            </w:pPr>
            <w:r w:rsidRPr="00214857">
              <w:rPr>
                <w:noProof/>
              </w:rPr>
              <w:drawing>
                <wp:inline distT="0" distB="0" distL="0" distR="0" wp14:anchorId="55FFDCA6" wp14:editId="53C0B820">
                  <wp:extent cx="228600" cy="228600"/>
                  <wp:effectExtent l="0" t="0" r="0" b="0"/>
                  <wp:docPr id="16" name="Рисунок 87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048637" name="Рисунок 87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144">
              <w:rPr>
                <w:rFonts w:ascii="Fira Sans" w:hAnsi="Fira Sans"/>
                <w:sz w:val="20"/>
                <w:szCs w:val="20"/>
              </w:rPr>
              <w:t>Консультация касательно реструктуризации кипрской компании международной группы с участием иностранных акционеров. Подготовка смешанного акционерного соглашения, включающего элементы договора купли-продажи и колл-опциона</w:t>
            </w:r>
            <w:r>
              <w:rPr>
                <w:rFonts w:ascii="Fira Sans" w:hAnsi="Fira Sans"/>
                <w:sz w:val="20"/>
                <w:szCs w:val="20"/>
              </w:rPr>
              <w:t>;</w:t>
            </w:r>
          </w:p>
          <w:p w14:paraId="4BC1D20D" w14:textId="77777777" w:rsidR="00377240" w:rsidRPr="00214857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23648C14" wp14:editId="635E96AF">
                  <wp:extent cx="228600" cy="228600"/>
                  <wp:effectExtent l="0" t="0" r="0" b="0"/>
                  <wp:docPr id="17" name="Рисунок 87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048637" name="Рисунок 87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857">
              <w:t xml:space="preserve">Корпоративное структурирование и сопровождение деятельности компаний в </w:t>
            </w:r>
            <w:r>
              <w:rPr>
                <w:lang w:val="en-US"/>
              </w:rPr>
              <w:t>ADGM</w:t>
            </w:r>
            <w:r w:rsidRPr="00214857">
              <w:t>, ОАЭ;</w:t>
            </w:r>
          </w:p>
          <w:p w14:paraId="65A42971" w14:textId="77777777" w:rsidR="00377240" w:rsidRPr="00214857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3EC792FD" wp14:editId="095EBE78">
                  <wp:extent cx="234950" cy="234950"/>
                  <wp:effectExtent l="0" t="0" r="0" b="0"/>
                  <wp:docPr id="18" name="Рисунок 86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044726" name="Рисунок 86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857">
              <w:t>Консультирование касательно создания и функционирования фаундейшнов в ОАЭ (</w:t>
            </w:r>
            <w:r>
              <w:rPr>
                <w:lang w:val="en-US"/>
              </w:rPr>
              <w:t>ADGM</w:t>
            </w:r>
            <w:r w:rsidRPr="00214857">
              <w:t>) в качестве альтернативы трастам, существующим в англо-саксонских системах права, подготовка корпоративных документов фаундейшна;</w:t>
            </w:r>
          </w:p>
          <w:p w14:paraId="7B12D061" w14:textId="77777777" w:rsidR="00377240" w:rsidRPr="00214857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0A3556FD" wp14:editId="3B56E92C">
                  <wp:extent cx="228600" cy="228600"/>
                  <wp:effectExtent l="0" t="0" r="0" b="0"/>
                  <wp:docPr id="20" name="Рисунок 20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Рисунок 84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857">
              <w:t>Корпоративное структурирование группы компаний Humans, разрабатывающей систему онлайн банка и социальной платформы по обмену вакансиями и поиску сотрудников. Юридическое исследование вопросов корпоративного права, права интеллектуальной собственности и налоговых вопросов в различных юрисдикциях (США, Сингапур, и другие). Подготовка корпоративных и транзакционных документов группы компаний;</w:t>
            </w:r>
          </w:p>
          <w:p w14:paraId="1BD11F83" w14:textId="77777777" w:rsidR="00377240" w:rsidRPr="00214857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103C1ED8" wp14:editId="6D78007C">
                  <wp:extent cx="228600" cy="228600"/>
                  <wp:effectExtent l="0" t="0" r="0" b="0"/>
                  <wp:docPr id="21" name="Рисунок 21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Рисунок 82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857">
              <w:t>Юридическая проверка группы компаний Variti, занимающейся разработкой технологий по защите от ботов, кражи данных, DDoS-аттак и других программ;</w:t>
            </w:r>
          </w:p>
          <w:p w14:paraId="40B2AB3F" w14:textId="77777777" w:rsidR="00377240" w:rsidRPr="00214857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2FB781D8" wp14:editId="2DFD0B6B">
                  <wp:extent cx="228600" cy="228600"/>
                  <wp:effectExtent l="0" t="0" r="0" b="0"/>
                  <wp:docPr id="22" name="Рисунок 22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8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857">
              <w:t xml:space="preserve">Юридическая проверка группы компаний </w:t>
            </w:r>
            <w:r w:rsidRPr="00214857">
              <w:rPr>
                <w:lang w:val="en-US"/>
              </w:rPr>
              <w:t>SleepMO</w:t>
            </w:r>
            <w:r w:rsidRPr="00214857">
              <w:t>, популярного мобильного приложения, предлагающего программы медитаций и планирование здорового сна;</w:t>
            </w:r>
          </w:p>
          <w:p w14:paraId="216074BE" w14:textId="77777777" w:rsidR="00377240" w:rsidRDefault="00377240" w:rsidP="00377240">
            <w:pPr>
              <w:pStyle w:val="af2"/>
              <w:rPr>
                <w:color w:val="00B0F0"/>
              </w:rPr>
            </w:pPr>
            <w:r>
              <w:rPr>
                <w:color w:val="00B0F0"/>
              </w:rPr>
              <w:t>ГЧП</w:t>
            </w:r>
          </w:p>
          <w:p w14:paraId="0C6B633C" w14:textId="1998F96C" w:rsidR="00377240" w:rsidRPr="008E43D8" w:rsidRDefault="00377240" w:rsidP="0037724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Fira Sans" w:eastAsia="Arial Unicode MS" w:hAnsi="Fira Sans" w:cs="Arial"/>
                <w:sz w:val="20"/>
                <w:szCs w:val="20"/>
                <w:lang w:eastAsia="en-US"/>
              </w:rPr>
            </w:pPr>
            <w:r w:rsidRPr="00214857">
              <w:rPr>
                <w:noProof/>
              </w:rPr>
              <w:lastRenderedPageBreak/>
              <w:drawing>
                <wp:inline distT="0" distB="0" distL="0" distR="0" wp14:anchorId="5FABDA71" wp14:editId="5EE80155">
                  <wp:extent cx="228600" cy="228600"/>
                  <wp:effectExtent l="0" t="0" r="0" b="0"/>
                  <wp:docPr id="2" name="Рисунок 2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8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8F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Сопровождение в качестве глобального юридического консультанта клиента, ведущей организации в области материаловедения и разработчика технологий для установки, ремонта и демонтажа реакторного оборудования в рамках группы «Росатом». Оказание комплексной юридической поддержки деятельности клиента в ключевых зарубежных юрисдикциях,</w:t>
            </w:r>
            <w:r w:rsidR="00E65742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 xml:space="preserve"> </w:t>
            </w:r>
            <w:r w:rsidRPr="00E17A8F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включая юридическое сопровождение деятельности филиалов в Египте, Венгрии, Турции и Республике Бангладеш</w:t>
            </w:r>
            <w:r w:rsidRPr="008E43D8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;</w:t>
            </w:r>
          </w:p>
          <w:p w14:paraId="0ECAAFD8" w14:textId="77777777" w:rsidR="00377240" w:rsidRPr="008E43D8" w:rsidRDefault="00377240" w:rsidP="0037724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Fira Sans" w:eastAsia="Arial Unicode MS" w:hAnsi="Fira Sans" w:cs="Arial"/>
                <w:sz w:val="20"/>
                <w:szCs w:val="20"/>
                <w:lang w:eastAsia="en-US"/>
              </w:rPr>
            </w:pPr>
            <w:r w:rsidRPr="00214857">
              <w:rPr>
                <w:noProof/>
              </w:rPr>
              <w:drawing>
                <wp:inline distT="0" distB="0" distL="0" distR="0" wp14:anchorId="05880362" wp14:editId="4DF6707C">
                  <wp:extent cx="228600" cy="228600"/>
                  <wp:effectExtent l="0" t="0" r="0" b="0"/>
                  <wp:docPr id="3" name="Рисунок 3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8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8F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Сопровождение в качестве глобального юридического консультанта компании, входящей в состав электрофизического подразделения группы «Росатом». Юридический аудит и анализ контрактов на поставку, импорт и реэкспорт оборудования для АЭС на соответствие законодательству страны контрагента и законодательству, применимому к контракту, включая разрешение споров и имплементация решений в иностранных юрисдикциях</w:t>
            </w:r>
            <w:r w:rsidRPr="008E43D8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;</w:t>
            </w:r>
          </w:p>
          <w:p w14:paraId="10C8AA0B" w14:textId="77777777" w:rsidR="00377240" w:rsidRPr="008E43D8" w:rsidRDefault="00377240" w:rsidP="0037724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Fira Sans" w:eastAsia="Arial Unicode MS" w:hAnsi="Fira Sans" w:cs="Arial"/>
                <w:sz w:val="20"/>
                <w:szCs w:val="20"/>
                <w:lang w:eastAsia="en-US"/>
              </w:rPr>
            </w:pPr>
            <w:r w:rsidRPr="00214857">
              <w:rPr>
                <w:noProof/>
              </w:rPr>
              <w:drawing>
                <wp:inline distT="0" distB="0" distL="0" distR="0" wp14:anchorId="0246337F" wp14:editId="5A323892">
                  <wp:extent cx="228600" cy="228600"/>
                  <wp:effectExtent l="0" t="0" r="0" b="0"/>
                  <wp:docPr id="4" name="Рисунок 4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8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8F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Сопровождение в качестве глобального юридического консультанта одного из ключевых предприятий топливной компании в составе группы «Росатом». Подготовка комплексных юридических заключений по внешнеэкономическим контрактам клиента, включая подробный анализ соответствия положений контрактов обязательным нормам иностранных юрисдикций и разрешению споров</w:t>
            </w:r>
            <w:r w:rsidRPr="008E43D8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;</w:t>
            </w:r>
          </w:p>
          <w:p w14:paraId="7D3020CA" w14:textId="77777777" w:rsidR="00377240" w:rsidRPr="008E43D8" w:rsidRDefault="00377240" w:rsidP="0037724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Fira Sans" w:eastAsia="Arial Unicode MS" w:hAnsi="Fira Sans" w:cs="Arial"/>
                <w:sz w:val="20"/>
                <w:szCs w:val="20"/>
                <w:lang w:eastAsia="en-US"/>
              </w:rPr>
            </w:pPr>
            <w:r w:rsidRPr="00214857">
              <w:rPr>
                <w:noProof/>
              </w:rPr>
              <w:drawing>
                <wp:inline distT="0" distB="0" distL="0" distR="0" wp14:anchorId="53B1240A" wp14:editId="4DC06CCC">
                  <wp:extent cx="228600" cy="228600"/>
                  <wp:effectExtent l="0" t="0" r="0" b="0"/>
                  <wp:docPr id="5" name="Рисунок 5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8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8F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Комплексная юридическая поддержка в качестве глобального консультанта лидера в области проектирования и строительства атомных электростанций в России и за рубежом в рамках группы «Росатом». Консультация по вопросам права ЕС и Венгрии, консультация по вопросам коммерческих контрактов с китайским контрагентом, связанным с техническим обслуживанием зарубежных АЭС, сопровождение судебного спора в Турции и другие задачи в рамках деятельности клиента</w:t>
            </w:r>
            <w:r w:rsidRPr="008E43D8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;</w:t>
            </w:r>
          </w:p>
          <w:p w14:paraId="3A66D973" w14:textId="77777777" w:rsidR="00377240" w:rsidRPr="008E43D8" w:rsidRDefault="00377240" w:rsidP="0037724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Fira Sans" w:eastAsia="Arial Unicode MS" w:hAnsi="Fira Sans" w:cs="Arial"/>
                <w:sz w:val="20"/>
                <w:szCs w:val="20"/>
                <w:lang w:eastAsia="en-US"/>
              </w:rPr>
            </w:pPr>
            <w:r w:rsidRPr="00214857">
              <w:rPr>
                <w:noProof/>
              </w:rPr>
              <w:drawing>
                <wp:inline distT="0" distB="0" distL="0" distR="0" wp14:anchorId="6A1AADCA" wp14:editId="1C8A1CDD">
                  <wp:extent cx="228600" cy="228600"/>
                  <wp:effectExtent l="0" t="0" r="0" b="0"/>
                  <wp:docPr id="6" name="Рисунок 6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8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8F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Сопровождение в качестве глобального юридического консультанта организации, созданной для управления международными проектами и укрепления присутствия Росатома на мировом энергетическом рынке. Организация отвечает за координацию деятельности региональных центров Росатома по всему миру и активно содействует развитию партнерских отношений с зарубежными странами в области атомной энергетики и других инновационных областях. Консультации по вопросам структурирования и реализации многих международных проектов и инициатив, в том числе в Бангладеш, Вьетнаме, Индии, Армении, Бразилии, Египте, Венгрии, Казахстане, Кыргызстане, Турции, Франции, Великобритании</w:t>
            </w:r>
            <w:r w:rsidRPr="008E43D8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;</w:t>
            </w:r>
          </w:p>
          <w:p w14:paraId="16B0D231" w14:textId="77777777" w:rsidR="00377240" w:rsidRPr="008E43D8" w:rsidRDefault="00377240" w:rsidP="00377240">
            <w:pPr>
              <w:pStyle w:val="paragraph"/>
              <w:spacing w:before="0" w:beforeAutospacing="0" w:after="120" w:afterAutospacing="0" w:line="276" w:lineRule="auto"/>
              <w:jc w:val="both"/>
              <w:textAlignment w:val="baseline"/>
              <w:rPr>
                <w:rFonts w:ascii="Fira Sans" w:eastAsia="Arial Unicode MS" w:hAnsi="Fira Sans" w:cs="Arial"/>
                <w:sz w:val="20"/>
                <w:szCs w:val="20"/>
                <w:lang w:eastAsia="en-US"/>
              </w:rPr>
            </w:pPr>
            <w:r w:rsidRPr="00214857">
              <w:rPr>
                <w:noProof/>
              </w:rPr>
              <w:drawing>
                <wp:inline distT="0" distB="0" distL="0" distR="0" wp14:anchorId="79821523" wp14:editId="0E71CB2A">
                  <wp:extent cx="228600" cy="228600"/>
                  <wp:effectExtent l="0" t="0" r="0" b="0"/>
                  <wp:docPr id="7" name="Рисунок 7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8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8F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Комплексная поддержка в процедуре внесения изменений в корпоративный реестр Бангладеш, необходимых для продления лицензии российской инжиниринговой компании, входящей в группу Росатом, на работу в рамках проекта строительства АЭС</w:t>
            </w:r>
            <w:r w:rsidRPr="008E43D8">
              <w:rPr>
                <w:rFonts w:ascii="Fira Sans" w:eastAsia="Arial Unicode MS" w:hAnsi="Fira Sans"/>
                <w:sz w:val="20"/>
                <w:szCs w:val="20"/>
                <w:lang w:eastAsia="en-US"/>
              </w:rPr>
              <w:t>;</w:t>
            </w:r>
          </w:p>
          <w:p w14:paraId="187C6B3C" w14:textId="77777777" w:rsidR="00377240" w:rsidRPr="00060455" w:rsidRDefault="00377240" w:rsidP="00377240">
            <w:pPr>
              <w:pStyle w:val="af2"/>
              <w:rPr>
                <w:color w:val="00B0F0"/>
              </w:rPr>
            </w:pPr>
            <w:r w:rsidRPr="00060455">
              <w:rPr>
                <w:color w:val="00B0F0"/>
              </w:rPr>
              <w:t>Санкционное право</w:t>
            </w:r>
          </w:p>
          <w:p w14:paraId="782A9092" w14:textId="77777777" w:rsidR="00377240" w:rsidRPr="00A9229A" w:rsidRDefault="00377240" w:rsidP="00377240">
            <w:pPr>
              <w:pStyle w:val="af2"/>
            </w:pPr>
            <w:r w:rsidRPr="00214857">
              <w:rPr>
                <w:noProof/>
              </w:rPr>
              <w:drawing>
                <wp:inline distT="0" distB="0" distL="0" distR="0" wp14:anchorId="3E8BD004" wp14:editId="14B8076B">
                  <wp:extent cx="228600" cy="228600"/>
                  <wp:effectExtent l="0" t="0" r="0" b="0"/>
                  <wp:docPr id="23" name="Рисунок 23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Рисунок 80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>Консультирование иностранной группы компаний и инвестиционного фонда клиента, участника международного списка Forbes, касательно возможности переструктурирования его российских активов;</w:t>
            </w:r>
          </w:p>
          <w:p w14:paraId="13F91E96" w14:textId="77777777" w:rsidR="00377240" w:rsidRPr="00A9229A" w:rsidRDefault="00377240" w:rsidP="00377240">
            <w:pPr>
              <w:pStyle w:val="af2"/>
            </w:pPr>
            <w:r w:rsidRPr="00A9229A">
              <w:rPr>
                <w:noProof/>
              </w:rPr>
              <w:drawing>
                <wp:inline distT="0" distB="0" distL="0" distR="0" wp14:anchorId="73013ECD" wp14:editId="11D341C0">
                  <wp:extent cx="228600" cy="228600"/>
                  <wp:effectExtent l="0" t="0" r="0" b="0"/>
                  <wp:docPr id="79" name="Рисунок 79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Рисунок 79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 xml:space="preserve">Юридическая консультация европейских </w:t>
            </w:r>
            <w:r>
              <w:t>компаний группы</w:t>
            </w:r>
            <w:r w:rsidRPr="00A9229A">
              <w:t xml:space="preserve"> лес</w:t>
            </w:r>
            <w:r>
              <w:t>ной промышленности</w:t>
            </w:r>
            <w:r w:rsidRPr="00A9229A">
              <w:t xml:space="preserve"> в связи с введением секторальных санкционных ограничений (ЕС);</w:t>
            </w:r>
          </w:p>
          <w:p w14:paraId="5717298C" w14:textId="0A2666BD" w:rsidR="00377240" w:rsidRPr="00A9229A" w:rsidRDefault="00377240" w:rsidP="00377240">
            <w:pPr>
              <w:pStyle w:val="af2"/>
            </w:pPr>
            <w:r w:rsidRPr="00A9229A">
              <w:rPr>
                <w:noProof/>
              </w:rPr>
              <w:drawing>
                <wp:inline distT="0" distB="0" distL="0" distR="0" wp14:anchorId="708E1F37" wp14:editId="1750713A">
                  <wp:extent cx="228600" cy="228600"/>
                  <wp:effectExtent l="0" t="0" r="0" b="0"/>
                  <wp:docPr id="24" name="Рисунок 78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411388" name="Рисунок 78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 xml:space="preserve">Юридическая </w:t>
            </w:r>
            <w:r w:rsidR="00E65742">
              <w:t xml:space="preserve">консультация </w:t>
            </w:r>
            <w:r w:rsidRPr="00A9229A">
              <w:t xml:space="preserve">европейских </w:t>
            </w:r>
            <w:r>
              <w:t xml:space="preserve">трейдинговых </w:t>
            </w:r>
            <w:r w:rsidRPr="00A9229A">
              <w:t>к</w:t>
            </w:r>
            <w:r>
              <w:t>о</w:t>
            </w:r>
            <w:r w:rsidRPr="00A9229A">
              <w:t>мпаний угольной промышленности России в связи с введением секторальных санкционных ограничений (ЕС). Претензионная работа с европейскими банками в связи с неправомерными ограничениями деятельности европейских компаний;</w:t>
            </w:r>
          </w:p>
          <w:p w14:paraId="2EA1BD85" w14:textId="77777777" w:rsidR="00377240" w:rsidRDefault="00377240" w:rsidP="00377240">
            <w:pPr>
              <w:jc w:val="both"/>
              <w:rPr>
                <w:rFonts w:ascii="Fira Sans" w:hAnsi="Fira Sans"/>
                <w:sz w:val="20"/>
                <w:szCs w:val="20"/>
              </w:rPr>
            </w:pPr>
            <w:r w:rsidRPr="00CF0144">
              <w:rPr>
                <w:rFonts w:ascii="Fira Sans" w:hAnsi="Fira Sans"/>
                <w:noProof/>
                <w:sz w:val="20"/>
                <w:szCs w:val="20"/>
              </w:rPr>
              <w:lastRenderedPageBreak/>
              <w:drawing>
                <wp:inline distT="0" distB="0" distL="0" distR="0" wp14:anchorId="04147572" wp14:editId="1FEA52CF">
                  <wp:extent cx="228600" cy="228600"/>
                  <wp:effectExtent l="0" t="0" r="0" b="0"/>
                  <wp:docPr id="25" name="Рисунок 77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5854" name="Рисунок 77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144">
              <w:rPr>
                <w:rFonts w:ascii="Fira Sans" w:hAnsi="Fira Sans"/>
                <w:sz w:val="20"/>
                <w:szCs w:val="20"/>
              </w:rPr>
              <w:t xml:space="preserve">Консультация </w:t>
            </w:r>
            <w:r>
              <w:rPr>
                <w:rFonts w:ascii="Fira Sans" w:hAnsi="Fira Sans"/>
                <w:sz w:val="20"/>
                <w:szCs w:val="20"/>
              </w:rPr>
              <w:t xml:space="preserve">венгерских филиалов крупной энергетической госкорпорации </w:t>
            </w:r>
            <w:r w:rsidRPr="00CF0144">
              <w:rPr>
                <w:rFonts w:ascii="Fira Sans" w:hAnsi="Fira Sans"/>
                <w:sz w:val="20"/>
                <w:szCs w:val="20"/>
              </w:rPr>
              <w:t>касательно применимых санкционных ограничений ЕС. Сопровождение ликвидации филиал</w:t>
            </w:r>
            <w:r>
              <w:rPr>
                <w:rFonts w:ascii="Fira Sans" w:hAnsi="Fira Sans"/>
                <w:sz w:val="20"/>
                <w:szCs w:val="20"/>
              </w:rPr>
              <w:t>ов</w:t>
            </w:r>
            <w:r w:rsidRPr="00CF0144">
              <w:rPr>
                <w:rFonts w:ascii="Fira Sans" w:hAnsi="Fira Sans"/>
                <w:sz w:val="20"/>
                <w:szCs w:val="20"/>
              </w:rPr>
              <w:t xml:space="preserve"> клиента в Венгрии</w:t>
            </w:r>
            <w:r>
              <w:rPr>
                <w:rFonts w:ascii="Fira Sans" w:hAnsi="Fira Sans"/>
                <w:sz w:val="20"/>
                <w:szCs w:val="20"/>
              </w:rPr>
              <w:t>;</w:t>
            </w:r>
          </w:p>
          <w:p w14:paraId="0DF0731B" w14:textId="77777777" w:rsidR="00377240" w:rsidRPr="00CF0144" w:rsidRDefault="00377240" w:rsidP="00377240">
            <w:pPr>
              <w:jc w:val="both"/>
              <w:rPr>
                <w:rFonts w:ascii="Fira Sans" w:hAnsi="Fira Sans"/>
                <w:sz w:val="20"/>
                <w:szCs w:val="20"/>
              </w:rPr>
            </w:pPr>
            <w:r w:rsidRPr="00CF0144">
              <w:rPr>
                <w:rFonts w:ascii="Fira Sans" w:hAnsi="Fira Sans"/>
                <w:noProof/>
                <w:sz w:val="20"/>
                <w:szCs w:val="20"/>
              </w:rPr>
              <w:drawing>
                <wp:inline distT="0" distB="0" distL="0" distR="0" wp14:anchorId="7B77921B" wp14:editId="352D1DE1">
                  <wp:extent cx="228600" cy="228600"/>
                  <wp:effectExtent l="0" t="0" r="0" b="0"/>
                  <wp:docPr id="26" name="Рисунок 77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5854" name="Рисунок 77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sz w:val="20"/>
                <w:szCs w:val="20"/>
              </w:rPr>
              <w:t>Подготовка правовых заключений касательно применимости санкционных ограничений к конкретным корпоративным действиям и решениям европейских, американских и британских компаний группы;</w:t>
            </w:r>
          </w:p>
          <w:p w14:paraId="5C7C99D7" w14:textId="77777777" w:rsidR="00377240" w:rsidRPr="00A9229A" w:rsidRDefault="00377240" w:rsidP="00377240">
            <w:pPr>
              <w:pStyle w:val="af2"/>
            </w:pPr>
            <w:r w:rsidRPr="00A9229A">
              <w:rPr>
                <w:noProof/>
              </w:rPr>
              <w:drawing>
                <wp:inline distT="0" distB="0" distL="0" distR="0" wp14:anchorId="1EE0152F" wp14:editId="15997AC0">
                  <wp:extent cx="228600" cy="228600"/>
                  <wp:effectExtent l="0" t="0" r="0" b="0"/>
                  <wp:docPr id="27" name="Рисунок 77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5854" name="Рисунок 77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>Сопровождение процедуры разблокировки различных активов частных клиентов, заблокированных в Евроклире, стоимостью около 1 000 000 долларов США;</w:t>
            </w:r>
          </w:p>
          <w:p w14:paraId="3326AE70" w14:textId="77777777" w:rsidR="00377240" w:rsidRPr="00A9229A" w:rsidRDefault="00377240" w:rsidP="00377240">
            <w:pPr>
              <w:pStyle w:val="af2"/>
            </w:pPr>
            <w:r w:rsidRPr="00A9229A">
              <w:rPr>
                <w:noProof/>
              </w:rPr>
              <w:drawing>
                <wp:inline distT="0" distB="0" distL="0" distR="0" wp14:anchorId="3C06E6F3" wp14:editId="6FD6D1E4">
                  <wp:extent cx="228600" cy="228600"/>
                  <wp:effectExtent l="0" t="0" r="0" b="0"/>
                  <wp:docPr id="28" name="Рисунок 76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512505" name="Рисунок 76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 xml:space="preserve">Сопровождение процедуры получения индивидуальных лицензий </w:t>
            </w:r>
            <w:r w:rsidRPr="00A9229A">
              <w:rPr>
                <w:lang w:val="en-US"/>
              </w:rPr>
              <w:t>OFAC</w:t>
            </w:r>
            <w:r w:rsidRPr="00A9229A">
              <w:t xml:space="preserve"> различных активов частных клиентов стоимостью от 100 000 долларов США;</w:t>
            </w:r>
          </w:p>
          <w:p w14:paraId="6DFED6A7" w14:textId="77777777" w:rsidR="00377240" w:rsidRPr="00A9229A" w:rsidRDefault="00377240" w:rsidP="00377240">
            <w:pPr>
              <w:pStyle w:val="af2"/>
            </w:pPr>
            <w:r w:rsidRPr="00A9229A">
              <w:rPr>
                <w:noProof/>
              </w:rPr>
              <w:drawing>
                <wp:inline distT="0" distB="0" distL="0" distR="0" wp14:anchorId="1F3EFAF6" wp14:editId="4E2E6ED5">
                  <wp:extent cx="228600" cy="228600"/>
                  <wp:effectExtent l="0" t="0" r="0" b="0"/>
                  <wp:docPr id="29" name="Рисунок 75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77011" name="Рисунок 75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>Юридическая консультация иностранной компании относительно взаимоотношений с одним из российских банков в связи с введением санкционных ограничений (США);</w:t>
            </w:r>
          </w:p>
          <w:p w14:paraId="647DA7F2" w14:textId="77777777" w:rsidR="00377240" w:rsidRPr="00A9229A" w:rsidRDefault="00377240" w:rsidP="00377240">
            <w:pPr>
              <w:pStyle w:val="af2"/>
            </w:pPr>
            <w:r w:rsidRPr="00A9229A">
              <w:rPr>
                <w:noProof/>
              </w:rPr>
              <w:drawing>
                <wp:inline distT="0" distB="0" distL="0" distR="0" wp14:anchorId="665EB572" wp14:editId="5A63CEF9">
                  <wp:extent cx="228600" cy="228600"/>
                  <wp:effectExtent l="0" t="0" r="0" b="0"/>
                  <wp:docPr id="30" name="Рисунок 74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64112" name="Рисунок 74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>Юридическая консультация государственной корпорации по атомной энергетике в связи с введением санкционных ограничений в отношении оказания определенных услуг (ЕС);</w:t>
            </w:r>
          </w:p>
          <w:p w14:paraId="43A0E2AE" w14:textId="77777777" w:rsidR="00377240" w:rsidRPr="00A9229A" w:rsidRDefault="00377240" w:rsidP="00377240">
            <w:pPr>
              <w:pStyle w:val="af2"/>
            </w:pPr>
            <w:r w:rsidRPr="00A9229A">
              <w:rPr>
                <w:noProof/>
              </w:rPr>
              <w:drawing>
                <wp:inline distT="0" distB="0" distL="0" distR="0" wp14:anchorId="42080A43" wp14:editId="497E8415">
                  <wp:extent cx="228600" cy="228600"/>
                  <wp:effectExtent l="0" t="0" r="0" b="0"/>
                  <wp:docPr id="31" name="Рисунок 73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61237" name="Рисунок 73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>Юридическая консультация иностранных компаний, их акционеров и директоров касательно соблюдения введенных санкционных ограничений (США, ЕС, Великобритания);</w:t>
            </w:r>
          </w:p>
          <w:p w14:paraId="0E24F90B" w14:textId="77777777" w:rsidR="00377240" w:rsidRPr="00A9229A" w:rsidRDefault="00377240" w:rsidP="00377240">
            <w:pPr>
              <w:pStyle w:val="af2"/>
            </w:pPr>
            <w:r w:rsidRPr="00A9229A">
              <w:rPr>
                <w:noProof/>
              </w:rPr>
              <w:drawing>
                <wp:inline distT="0" distB="0" distL="0" distR="0" wp14:anchorId="159DE802" wp14:editId="65DA480D">
                  <wp:extent cx="228600" cy="228600"/>
                  <wp:effectExtent l="0" t="0" r="0" b="0"/>
                  <wp:docPr id="32" name="Рисунок 72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84316" name="Рисунок 72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>Юридическая консультация касательно рисков и требований в связи с санкционными ограничениями (США, ЕС, Великобритания) крупнейшей информационной компании России в связи с созданием международной структуры для запуска нового продукта компании;</w:t>
            </w:r>
          </w:p>
          <w:p w14:paraId="6638FA96" w14:textId="46483C20" w:rsidR="006D5FF6" w:rsidRDefault="00377240" w:rsidP="00377240">
            <w:pPr>
              <w:pStyle w:val="af2"/>
              <w:rPr>
                <w:rFonts w:ascii="Arial" w:hAnsi="Arial"/>
              </w:rPr>
            </w:pPr>
            <w:r w:rsidRPr="00A9229A">
              <w:rPr>
                <w:noProof/>
              </w:rPr>
              <w:drawing>
                <wp:inline distT="0" distB="0" distL="0" distR="0" wp14:anchorId="020B04D3" wp14:editId="7BC4CDEB">
                  <wp:extent cx="228600" cy="228600"/>
                  <wp:effectExtent l="0" t="0" r="0" b="0"/>
                  <wp:docPr id="33" name="Рисунок 71" descr="A blue logo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125192" name="Рисунок 71" descr="A blue logo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9A">
              <w:t>Юридическая консультация компании – собственника популярного мобильного приложения относительно неправомерной блокировки деятельности компании со стороны государственного органа США.</w:t>
            </w:r>
          </w:p>
        </w:tc>
      </w:tr>
    </w:tbl>
    <w:p w14:paraId="79CAC49A" w14:textId="4902716F" w:rsidR="00A0033A" w:rsidRPr="007A6BC2" w:rsidRDefault="00A0033A" w:rsidP="00B77C91">
      <w:pPr>
        <w:pStyle w:val="a3"/>
        <w:ind w:right="-3" w:firstLine="0"/>
        <w:rPr>
          <w:rFonts w:ascii="Arial" w:hAnsi="Arial" w:cs="Arial"/>
          <w:color w:val="009FDF"/>
          <w:sz w:val="20"/>
        </w:rPr>
      </w:pPr>
    </w:p>
    <w:sectPr w:rsidR="00A0033A" w:rsidRPr="007A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66A1"/>
    <w:multiLevelType w:val="hybridMultilevel"/>
    <w:tmpl w:val="0CBCDC0E"/>
    <w:lvl w:ilvl="0" w:tplc="814A7C2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99"/>
    <w:rsid w:val="0005077E"/>
    <w:rsid w:val="00071799"/>
    <w:rsid w:val="0007625F"/>
    <w:rsid w:val="000B1B46"/>
    <w:rsid w:val="000D4EDC"/>
    <w:rsid w:val="000D71DD"/>
    <w:rsid w:val="001468AD"/>
    <w:rsid w:val="00150072"/>
    <w:rsid w:val="001B054F"/>
    <w:rsid w:val="001B3A2C"/>
    <w:rsid w:val="00242D1B"/>
    <w:rsid w:val="002A43AB"/>
    <w:rsid w:val="002B3872"/>
    <w:rsid w:val="002C5CFD"/>
    <w:rsid w:val="002E54B0"/>
    <w:rsid w:val="002F637C"/>
    <w:rsid w:val="00324CC2"/>
    <w:rsid w:val="00337639"/>
    <w:rsid w:val="00377240"/>
    <w:rsid w:val="003A27CC"/>
    <w:rsid w:val="003C4AB5"/>
    <w:rsid w:val="003D2D87"/>
    <w:rsid w:val="0056205C"/>
    <w:rsid w:val="00573827"/>
    <w:rsid w:val="005816D9"/>
    <w:rsid w:val="005A2110"/>
    <w:rsid w:val="00635330"/>
    <w:rsid w:val="00656E95"/>
    <w:rsid w:val="00680E22"/>
    <w:rsid w:val="00682029"/>
    <w:rsid w:val="006D0E2F"/>
    <w:rsid w:val="006D5FF6"/>
    <w:rsid w:val="007119B0"/>
    <w:rsid w:val="007403F5"/>
    <w:rsid w:val="0078176E"/>
    <w:rsid w:val="007B484C"/>
    <w:rsid w:val="00897804"/>
    <w:rsid w:val="008C0637"/>
    <w:rsid w:val="008D4F74"/>
    <w:rsid w:val="00941B35"/>
    <w:rsid w:val="00951838"/>
    <w:rsid w:val="009B55E5"/>
    <w:rsid w:val="009F50BE"/>
    <w:rsid w:val="00A0033A"/>
    <w:rsid w:val="00A34C57"/>
    <w:rsid w:val="00A5187D"/>
    <w:rsid w:val="00A55249"/>
    <w:rsid w:val="00B55D05"/>
    <w:rsid w:val="00B77C91"/>
    <w:rsid w:val="00B8603C"/>
    <w:rsid w:val="00BA2FFD"/>
    <w:rsid w:val="00BC509F"/>
    <w:rsid w:val="00BE1EE4"/>
    <w:rsid w:val="00C4747D"/>
    <w:rsid w:val="00C750F7"/>
    <w:rsid w:val="00C8578A"/>
    <w:rsid w:val="00CB52F6"/>
    <w:rsid w:val="00CB6748"/>
    <w:rsid w:val="00CF0144"/>
    <w:rsid w:val="00D412D9"/>
    <w:rsid w:val="00D74EDA"/>
    <w:rsid w:val="00DA337A"/>
    <w:rsid w:val="00DA3C9B"/>
    <w:rsid w:val="00DB561E"/>
    <w:rsid w:val="00DE7A4B"/>
    <w:rsid w:val="00E15EA0"/>
    <w:rsid w:val="00E57A80"/>
    <w:rsid w:val="00E65742"/>
    <w:rsid w:val="00E929FF"/>
    <w:rsid w:val="00EC6100"/>
    <w:rsid w:val="00EF215D"/>
    <w:rsid w:val="00F13C12"/>
    <w:rsid w:val="00F40030"/>
    <w:rsid w:val="071E5E09"/>
    <w:rsid w:val="085DD2D1"/>
    <w:rsid w:val="08DB388A"/>
    <w:rsid w:val="12B2F4DD"/>
    <w:rsid w:val="18A55991"/>
    <w:rsid w:val="197F425F"/>
    <w:rsid w:val="1ECF3EBA"/>
    <w:rsid w:val="2020B142"/>
    <w:rsid w:val="22259478"/>
    <w:rsid w:val="25909D94"/>
    <w:rsid w:val="2B24625C"/>
    <w:rsid w:val="360B4EE4"/>
    <w:rsid w:val="3671804E"/>
    <w:rsid w:val="39FFE2BE"/>
    <w:rsid w:val="3AE6BF54"/>
    <w:rsid w:val="3E9E294B"/>
    <w:rsid w:val="43700C1A"/>
    <w:rsid w:val="4477A8C0"/>
    <w:rsid w:val="5C8F8934"/>
    <w:rsid w:val="656262DC"/>
    <w:rsid w:val="68321791"/>
    <w:rsid w:val="6BB34DA0"/>
    <w:rsid w:val="7ACBA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E0B9"/>
  <w15:chartTrackingRefBased/>
  <w15:docId w15:val="{269084EA-A906-46BF-AD0F-EB7DE7D3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33A"/>
    <w:pPr>
      <w:spacing w:before="120" w:after="120"/>
      <w:ind w:firstLine="72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003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003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6">
    <w:name w:val="Normal (Web)"/>
    <w:basedOn w:val="a"/>
    <w:uiPriority w:val="99"/>
    <w:rsid w:val="00A0033A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1B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B55D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Краткая информация"/>
    <w:basedOn w:val="a"/>
    <w:link w:val="ab"/>
    <w:qFormat/>
    <w:rsid w:val="00B55D05"/>
    <w:pPr>
      <w:spacing w:after="120" w:line="276" w:lineRule="auto"/>
      <w:jc w:val="both"/>
    </w:pPr>
    <w:rPr>
      <w:rFonts w:ascii="Fira Sans" w:eastAsia="Arial Unicode MS" w:hAnsi="Fira Sans" w:cs="Arial"/>
      <w:sz w:val="22"/>
      <w:szCs w:val="20"/>
      <w:lang w:eastAsia="en-US"/>
    </w:rPr>
  </w:style>
  <w:style w:type="character" w:customStyle="1" w:styleId="ab">
    <w:name w:val="Краткая информация Знак"/>
    <w:basedOn w:val="a0"/>
    <w:link w:val="aa"/>
    <w:rsid w:val="00B55D05"/>
    <w:rPr>
      <w:rFonts w:ascii="Fira Sans" w:eastAsia="Arial Unicode MS" w:hAnsi="Fira Sans" w:cs="Arial"/>
      <w:szCs w:val="20"/>
    </w:rPr>
  </w:style>
  <w:style w:type="paragraph" w:customStyle="1" w:styleId="ac">
    <w:name w:val="Роль"/>
    <w:basedOn w:val="a"/>
    <w:link w:val="ad"/>
    <w:qFormat/>
    <w:rsid w:val="00B55D05"/>
    <w:pPr>
      <w:spacing w:after="120" w:line="276" w:lineRule="auto"/>
      <w:jc w:val="both"/>
    </w:pPr>
    <w:rPr>
      <w:rFonts w:ascii="Fira Sans" w:hAnsi="Fira Sans" w:cs="Arial"/>
      <w:b/>
      <w:color w:val="009FDF"/>
      <w:sz w:val="22"/>
      <w:szCs w:val="20"/>
      <w:lang w:eastAsia="en-US"/>
    </w:rPr>
  </w:style>
  <w:style w:type="character" w:customStyle="1" w:styleId="ad">
    <w:name w:val="Роль Знак"/>
    <w:basedOn w:val="a0"/>
    <w:link w:val="ac"/>
    <w:rsid w:val="00B55D05"/>
    <w:rPr>
      <w:rFonts w:ascii="Fira Sans" w:eastAsia="Times New Roman" w:hAnsi="Fira Sans" w:cs="Arial"/>
      <w:b/>
      <w:color w:val="009FDF"/>
      <w:szCs w:val="20"/>
    </w:rPr>
  </w:style>
  <w:style w:type="paragraph" w:customStyle="1" w:styleId="ae">
    <w:name w:val="ФИО"/>
    <w:basedOn w:val="a"/>
    <w:link w:val="af"/>
    <w:qFormat/>
    <w:rsid w:val="00B55D05"/>
    <w:pPr>
      <w:spacing w:after="120" w:line="276" w:lineRule="auto"/>
      <w:jc w:val="both"/>
    </w:pPr>
    <w:rPr>
      <w:rFonts w:ascii="Fira Sans" w:hAnsi="Fira Sans" w:cs="Arial"/>
      <w:b/>
      <w:color w:val="009FDF"/>
      <w:sz w:val="32"/>
      <w:szCs w:val="32"/>
      <w:lang w:eastAsia="en-US"/>
    </w:rPr>
  </w:style>
  <w:style w:type="character" w:customStyle="1" w:styleId="af">
    <w:name w:val="ФИО Знак"/>
    <w:basedOn w:val="a0"/>
    <w:link w:val="ae"/>
    <w:rsid w:val="00B55D05"/>
    <w:rPr>
      <w:rFonts w:ascii="Fira Sans" w:eastAsia="Times New Roman" w:hAnsi="Fira Sans" w:cs="Arial"/>
      <w:b/>
      <w:color w:val="009FDF"/>
      <w:sz w:val="32"/>
      <w:szCs w:val="32"/>
    </w:rPr>
  </w:style>
  <w:style w:type="paragraph" w:customStyle="1" w:styleId="af0">
    <w:name w:val="Подзаголовок."/>
    <w:basedOn w:val="a"/>
    <w:link w:val="af1"/>
    <w:qFormat/>
    <w:rsid w:val="00B55D05"/>
    <w:pPr>
      <w:spacing w:after="120" w:line="276" w:lineRule="auto"/>
      <w:jc w:val="both"/>
    </w:pPr>
    <w:rPr>
      <w:rFonts w:ascii="Fira Sans" w:eastAsia="Arial Unicode MS" w:hAnsi="Fira Sans" w:cs="Arial"/>
      <w:b/>
      <w:color w:val="009FDF"/>
      <w:sz w:val="20"/>
      <w:szCs w:val="20"/>
      <w:lang w:eastAsia="en-US"/>
    </w:rPr>
  </w:style>
  <w:style w:type="character" w:customStyle="1" w:styleId="af1">
    <w:name w:val="Подзаголовок. Знак"/>
    <w:basedOn w:val="a0"/>
    <w:link w:val="af0"/>
    <w:rsid w:val="00B55D05"/>
    <w:rPr>
      <w:rFonts w:ascii="Fira Sans" w:eastAsia="Arial Unicode MS" w:hAnsi="Fira Sans" w:cs="Arial"/>
      <w:b/>
      <w:color w:val="009FDF"/>
      <w:sz w:val="20"/>
      <w:szCs w:val="20"/>
    </w:rPr>
  </w:style>
  <w:style w:type="paragraph" w:customStyle="1" w:styleId="af2">
    <w:name w:val="Текст."/>
    <w:basedOn w:val="a"/>
    <w:link w:val="af3"/>
    <w:qFormat/>
    <w:rsid w:val="00B55D05"/>
    <w:pPr>
      <w:spacing w:after="120" w:line="276" w:lineRule="auto"/>
      <w:jc w:val="both"/>
    </w:pPr>
    <w:rPr>
      <w:rFonts w:ascii="Fira Sans" w:eastAsia="Arial Unicode MS" w:hAnsi="Fira Sans" w:cs="Arial"/>
      <w:sz w:val="20"/>
      <w:szCs w:val="20"/>
      <w:lang w:eastAsia="en-US"/>
    </w:rPr>
  </w:style>
  <w:style w:type="character" w:customStyle="1" w:styleId="af3">
    <w:name w:val="Текст. Знак"/>
    <w:basedOn w:val="a0"/>
    <w:link w:val="af2"/>
    <w:rsid w:val="00B55D05"/>
    <w:rPr>
      <w:rFonts w:ascii="Fira Sans" w:eastAsia="Arial Unicode MS" w:hAnsi="Fira Sans" w:cs="Arial"/>
      <w:sz w:val="20"/>
      <w:szCs w:val="20"/>
    </w:rPr>
  </w:style>
  <w:style w:type="paragraph" w:customStyle="1" w:styleId="paragraph">
    <w:name w:val="paragraph"/>
    <w:basedOn w:val="a"/>
    <w:rsid w:val="003772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0B35086124D74399749F10E46F7C68" ma:contentTypeVersion="16" ma:contentTypeDescription="Создание документа." ma:contentTypeScope="" ma:versionID="64f87b43ecea2627e49c3b26e0acef10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a653aff22cbcbb559d975c3f72a31a69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B55C5-EC2C-4BF0-91C9-44E533BE9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37821-EC96-497A-85F9-02C57706A8B2}">
  <ds:schemaRefs>
    <ds:schemaRef ds:uri="http://schemas.microsoft.com/office/2006/metadata/properties"/>
    <ds:schemaRef ds:uri="http://schemas.microsoft.com/office/infopath/2007/PartnerControls"/>
    <ds:schemaRef ds:uri="39ffb05f-7cc7-4589-a196-4da57bd90c1c"/>
    <ds:schemaRef ds:uri="ec2f5838-29eb-4f79-bfef-390f47d00918"/>
    <ds:schemaRef ds:uri="eb1d006a-1d62-4ee4-872e-16c7b8a4b9ec"/>
  </ds:schemaRefs>
</ds:datastoreItem>
</file>

<file path=customXml/itemProps3.xml><?xml version="1.0" encoding="utf-8"?>
<ds:datastoreItem xmlns:ds="http://schemas.openxmlformats.org/officeDocument/2006/customXml" ds:itemID="{7F851D21-2D83-4EBA-A99C-D366FC90D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5838-29eb-4f79-bfef-390f47d00918"/>
    <ds:schemaRef ds:uri="26e2e6b2-3498-49c9-83e1-7f5fd35c529d"/>
    <ds:schemaRef ds:uri="39ffb05f-7cc7-4589-a196-4da57bd90c1c"/>
    <ds:schemaRef ds:uri="eb1d006a-1d62-4ee4-872e-16c7b8a4b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Bondarenko</dc:creator>
  <cp:keywords/>
  <dc:description/>
  <cp:lastModifiedBy>Irina Bondarenko</cp:lastModifiedBy>
  <cp:revision>74</cp:revision>
  <dcterms:created xsi:type="dcterms:W3CDTF">2024-01-19T12:50:00Z</dcterms:created>
  <dcterms:modified xsi:type="dcterms:W3CDTF">2026-01-28T14:40:00Z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